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pacing w:line="360" w:lineRule="auto"/>
        <w:ind w:firstLine="594" w:firstLineChars="200"/>
        <w:rPr>
          <w:rFonts w:hint="eastAsia" w:ascii="Times New Roman" w:hAnsi="Times New Roman"/>
          <w:color w:val="000000"/>
        </w:rPr>
      </w:pPr>
    </w:p>
    <w:p>
      <w:pPr>
        <w:adjustRightInd w:val="0"/>
        <w:snapToGrid w:val="0"/>
        <w:rPr>
          <w:rFonts w:eastAsia="方正小标宋_GBK"/>
          <w:bCs/>
          <w:sz w:val="36"/>
          <w:szCs w:val="36"/>
        </w:rPr>
      </w:pPr>
    </w:p>
    <w:p>
      <w:pPr>
        <w:adjustRightInd w:val="0"/>
        <w:snapToGrid w:val="0"/>
        <w:rPr>
          <w:rFonts w:eastAsia="方正小标宋_GBK"/>
          <w:bCs/>
          <w:sz w:val="36"/>
          <w:szCs w:val="36"/>
        </w:rPr>
      </w:pPr>
    </w:p>
    <w:p>
      <w:pPr>
        <w:adjustRightInd w:val="0"/>
        <w:snapToGrid w:val="0"/>
        <w:rPr>
          <w:rFonts w:eastAsia="方正小标宋_GBK"/>
          <w:bCs/>
          <w:sz w:val="36"/>
          <w:szCs w:val="36"/>
        </w:rPr>
      </w:pPr>
    </w:p>
    <w:p>
      <w:pPr>
        <w:adjustRightInd w:val="0"/>
        <w:snapToGrid w:val="0"/>
        <w:rPr>
          <w:rFonts w:eastAsia="方正小标宋_GBK"/>
          <w:bCs/>
          <w:sz w:val="36"/>
          <w:szCs w:val="36"/>
        </w:rPr>
      </w:pPr>
    </w:p>
    <w:p>
      <w:pPr>
        <w:adjustRightInd w:val="0"/>
        <w:snapToGrid w:val="0"/>
        <w:rPr>
          <w:rFonts w:eastAsia="方正小标宋_GBK"/>
          <w:bCs/>
          <w:sz w:val="36"/>
          <w:szCs w:val="36"/>
        </w:rPr>
      </w:pPr>
    </w:p>
    <w:p>
      <w:pPr>
        <w:adjustRightInd w:val="0"/>
        <w:snapToGrid w:val="0"/>
        <w:jc w:val="center"/>
        <w:rPr>
          <w:rFonts w:eastAsia="方正小标宋_GBK"/>
          <w:color w:val="000000"/>
          <w:sz w:val="36"/>
          <w:szCs w:val="36"/>
        </w:rPr>
      </w:pPr>
      <w:r>
        <w:rPr>
          <w:rFonts w:eastAsia="方正小标宋_GBK"/>
          <w:bCs/>
          <w:sz w:val="36"/>
          <w:szCs w:val="36"/>
        </w:rPr>
        <w:t>永川区</w:t>
      </w:r>
      <w:r>
        <w:rPr>
          <w:rFonts w:hint="eastAsia" w:eastAsia="方正小标宋_GBK"/>
          <w:bCs/>
          <w:sz w:val="36"/>
          <w:szCs w:val="36"/>
        </w:rPr>
        <w:t>金龙</w:t>
      </w:r>
      <w:r>
        <w:rPr>
          <w:rFonts w:eastAsia="方正小标宋_GBK"/>
          <w:bCs/>
          <w:sz w:val="36"/>
          <w:szCs w:val="36"/>
        </w:rPr>
        <w:t>镇创建重庆市生态文明建设示范镇规划</w:t>
      </w:r>
    </w:p>
    <w:p>
      <w:pPr>
        <w:jc w:val="center"/>
        <w:rPr>
          <w:rFonts w:eastAsia="仿宋_GB2312"/>
          <w:color w:val="000000"/>
        </w:rPr>
      </w:pPr>
      <w:r>
        <w:rPr>
          <w:rFonts w:hint="default" w:ascii="Times New Roman" w:hAnsi="Times New Roman" w:eastAsia="仿宋_GB2312" w:cs="Times New Roman"/>
          <w:color w:val="000000"/>
        </w:rPr>
        <w:t>（2022-2025）</w:t>
      </w:r>
    </w:p>
    <w:p>
      <w:pPr>
        <w:jc w:val="center"/>
        <w:rPr>
          <w:rFonts w:hint="eastAsia" w:eastAsia="仿宋_GB2312"/>
          <w:color w:val="000000"/>
        </w:rPr>
      </w:pPr>
    </w:p>
    <w:p>
      <w:pPr>
        <w:jc w:val="center"/>
        <w:rPr>
          <w:rFonts w:eastAsia="仿宋_GB2312"/>
          <w:color w:val="000000"/>
        </w:rPr>
      </w:pPr>
    </w:p>
    <w:p>
      <w:pPr>
        <w:jc w:val="center"/>
        <w:rPr>
          <w:rFonts w:eastAsia="仿宋_GB2312"/>
          <w:color w:val="000000"/>
        </w:rPr>
      </w:pPr>
    </w:p>
    <w:p>
      <w:pPr>
        <w:jc w:val="center"/>
        <w:rPr>
          <w:rFonts w:hint="eastAsia" w:eastAsia="仿宋_GB2312"/>
          <w:color w:val="000000"/>
        </w:rPr>
      </w:pPr>
    </w:p>
    <w:p>
      <w:pPr>
        <w:jc w:val="center"/>
        <w:rPr>
          <w:rFonts w:eastAsia="仿宋_GB2312"/>
          <w:color w:val="000000"/>
        </w:rPr>
      </w:pPr>
    </w:p>
    <w:p>
      <w:pPr>
        <w:jc w:val="center"/>
        <w:rPr>
          <w:rFonts w:eastAsia="仿宋_GB2312"/>
          <w:color w:val="000000"/>
        </w:rPr>
      </w:pPr>
    </w:p>
    <w:p>
      <w:pPr>
        <w:jc w:val="center"/>
        <w:rPr>
          <w:rFonts w:eastAsia="仿宋_GB2312"/>
          <w:color w:val="000000"/>
        </w:rPr>
      </w:pPr>
    </w:p>
    <w:p>
      <w:pPr>
        <w:adjustRightInd w:val="0"/>
        <w:snapToGrid w:val="0"/>
        <w:jc w:val="center"/>
        <w:rPr>
          <w:rFonts w:eastAsia="仿宋_GB2312"/>
          <w:color w:val="000000"/>
        </w:rPr>
      </w:pPr>
    </w:p>
    <w:p>
      <w:pPr>
        <w:jc w:val="center"/>
        <w:rPr>
          <w:rFonts w:eastAsia="仿宋_GB2312"/>
          <w:color w:val="000000"/>
        </w:rPr>
      </w:pPr>
    </w:p>
    <w:p>
      <w:pPr>
        <w:pStyle w:val="21"/>
        <w:ind w:left="632" w:firstLine="472"/>
        <w:rPr>
          <w:rFonts w:ascii="Times New Roman" w:hAnsi="Times New Roman"/>
        </w:rPr>
      </w:pPr>
    </w:p>
    <w:p>
      <w:pPr>
        <w:pStyle w:val="21"/>
        <w:ind w:left="632" w:firstLine="472"/>
        <w:rPr>
          <w:rFonts w:ascii="Times New Roman" w:hAnsi="Times New Roman"/>
        </w:rPr>
      </w:pPr>
    </w:p>
    <w:p>
      <w:pPr>
        <w:jc w:val="center"/>
        <w:rPr>
          <w:rFonts w:eastAsia="方正楷体_GBK"/>
          <w:color w:val="000000"/>
          <w:szCs w:val="32"/>
        </w:rPr>
      </w:pPr>
      <w:r>
        <w:rPr>
          <w:rFonts w:eastAsia="方正楷体_GBK"/>
          <w:color w:val="000000"/>
          <w:szCs w:val="32"/>
        </w:rPr>
        <w:t>永川区</w:t>
      </w:r>
      <w:r>
        <w:rPr>
          <w:rFonts w:hint="eastAsia" w:eastAsia="方正楷体_GBK"/>
          <w:color w:val="000000"/>
          <w:szCs w:val="32"/>
        </w:rPr>
        <w:t>金龙</w:t>
      </w:r>
      <w:r>
        <w:rPr>
          <w:rFonts w:eastAsia="方正楷体_GBK"/>
          <w:color w:val="000000"/>
          <w:szCs w:val="32"/>
        </w:rPr>
        <w:t>镇人民政府</w:t>
      </w:r>
    </w:p>
    <w:p>
      <w:pPr>
        <w:adjustRightInd w:val="0"/>
        <w:snapToGrid w:val="0"/>
        <w:jc w:val="center"/>
        <w:rPr>
          <w:rFonts w:eastAsia="方正楷体_GBK"/>
          <w:bCs/>
          <w:szCs w:val="32"/>
        </w:rPr>
      </w:pPr>
      <w:r>
        <w:rPr>
          <w:rFonts w:eastAsia="方正楷体_GBK"/>
          <w:bCs/>
          <w:szCs w:val="32"/>
        </w:rPr>
        <w:t>二〇二</w:t>
      </w:r>
      <w:r>
        <w:rPr>
          <w:rFonts w:hint="eastAsia" w:eastAsia="方正楷体_GBK"/>
          <w:bCs/>
          <w:szCs w:val="32"/>
        </w:rPr>
        <w:t>三</w:t>
      </w:r>
      <w:r>
        <w:rPr>
          <w:rFonts w:eastAsia="方正楷体_GBK"/>
          <w:bCs/>
          <w:szCs w:val="32"/>
        </w:rPr>
        <w:t>年</w:t>
      </w:r>
      <w:r>
        <w:rPr>
          <w:rFonts w:hint="eastAsia" w:eastAsia="方正楷体_GBK"/>
          <w:bCs/>
          <w:szCs w:val="32"/>
        </w:rPr>
        <w:t>三</w:t>
      </w:r>
      <w:r>
        <w:rPr>
          <w:rFonts w:eastAsia="方正楷体_GBK"/>
          <w:bCs/>
          <w:szCs w:val="32"/>
        </w:rPr>
        <w:t>月</w:t>
      </w:r>
    </w:p>
    <w:p>
      <w:pPr>
        <w:sectPr>
          <w:footerReference r:id="rId3" w:type="default"/>
          <w:footerReference r:id="rId4" w:type="even"/>
          <w:pgSz w:w="11906" w:h="16838"/>
          <w:pgMar w:top="2098" w:right="1474" w:bottom="1985" w:left="1588" w:header="851" w:footer="992" w:gutter="0"/>
          <w:cols w:space="720" w:num="1"/>
          <w:titlePg/>
          <w:docGrid w:type="linesAndChars" w:linePitch="579" w:charSpace="-819"/>
        </w:sectPr>
      </w:pPr>
    </w:p>
    <w:p>
      <w:pPr>
        <w:jc w:val="center"/>
        <w:outlineLvl w:val="0"/>
        <w:rPr>
          <w:rFonts w:eastAsia="方正黑体_GBK"/>
          <w:szCs w:val="32"/>
        </w:rPr>
      </w:pPr>
      <w:r>
        <w:rPr>
          <w:rFonts w:eastAsia="方正黑体_GBK"/>
          <w:szCs w:val="32"/>
        </w:rPr>
        <w:tab/>
      </w:r>
      <w:bookmarkStart w:id="0" w:name="_Toc104279939"/>
      <w:bookmarkStart w:id="1" w:name="_Toc106638385"/>
      <w:r>
        <w:rPr>
          <w:rFonts w:eastAsia="方正黑体_GBK"/>
          <w:szCs w:val="32"/>
        </w:rPr>
        <w:t>前  言</w:t>
      </w:r>
      <w:bookmarkEnd w:id="0"/>
      <w:bookmarkEnd w:id="1"/>
    </w:p>
    <w:p>
      <w:pPr>
        <w:ind w:firstLine="634" w:firstLineChars="200"/>
        <w:rPr>
          <w:szCs w:val="32"/>
        </w:rPr>
      </w:pPr>
      <w:r>
        <w:rPr>
          <w:rFonts w:hint="eastAsia"/>
          <w:szCs w:val="32"/>
        </w:rPr>
        <w:t>金龙镇位于永川区东北部，地处茶山竹海旅游区东麓，南与永川大安街道相接，东与璧山正兴镇相邻，北与铜梁安溪镇接壤，九龙河</w:t>
      </w:r>
      <w:r>
        <w:rPr>
          <w:rFonts w:hint="eastAsia"/>
          <w:color w:val="auto"/>
          <w:szCs w:val="32"/>
          <w:lang w:eastAsia="zh-CN"/>
        </w:rPr>
        <w:t>呈</w:t>
      </w:r>
      <w:r>
        <w:rPr>
          <w:rFonts w:hint="eastAsia"/>
          <w:szCs w:val="32"/>
        </w:rPr>
        <w:t>“n”字型穿越全境，将金龙镇灌溉成为永川区东北部重要的生态农业地区。金龙镇始终坚持以</w:t>
      </w:r>
      <w:r>
        <w:rPr>
          <w:rFonts w:hint="eastAsia"/>
          <w:color w:val="auto"/>
          <w:szCs w:val="32"/>
        </w:rPr>
        <w:t>习近平生态文明思想</w:t>
      </w:r>
      <w:r>
        <w:rPr>
          <w:rFonts w:hint="eastAsia"/>
          <w:szCs w:val="32"/>
        </w:rPr>
        <w:t>为指导，深入贯彻习近平总书记视察重庆重要讲话精神，努力在推动全区高质量发展和高水平保护中践行初心使命，坚定不移走生态优先、绿色发展新路，确定了打造生态蔬菜和特色水果种植基地、建设九龙河市级农业园区、打造农旅融合发展休闲地等发展目标，推动建成“生态、休闲、和</w:t>
      </w:r>
      <w:bookmarkStart w:id="88" w:name="_GoBack"/>
      <w:bookmarkEnd w:id="88"/>
      <w:r>
        <w:rPr>
          <w:rFonts w:hint="eastAsia"/>
          <w:szCs w:val="32"/>
        </w:rPr>
        <w:t>美、幸福”金龙。</w:t>
      </w:r>
    </w:p>
    <w:p>
      <w:pPr>
        <w:ind w:firstLine="634" w:firstLineChars="200"/>
        <w:rPr>
          <w:szCs w:val="32"/>
        </w:rPr>
      </w:pPr>
      <w:r>
        <w:rPr>
          <w:rFonts w:hint="eastAsia"/>
          <w:szCs w:val="32"/>
        </w:rPr>
        <w:t>为落实生态文明理念，强化绿水青山就是金山银山的探索实践，奋力把金龙镇打造为永川东北部生态农业功能区，助力永川融入成渝地区双城经济圈建设和泸永江川渝合作示范区，金龙镇</w:t>
      </w:r>
      <w:r>
        <w:rPr>
          <w:rFonts w:hint="eastAsia"/>
          <w:color w:val="auto"/>
          <w:szCs w:val="32"/>
        </w:rPr>
        <w:t>做</w:t>
      </w:r>
      <w:r>
        <w:rPr>
          <w:rFonts w:hint="eastAsia"/>
          <w:szCs w:val="32"/>
        </w:rPr>
        <w:t>出创建“重庆市生态文明建设示范镇”的决定，根据</w:t>
      </w:r>
      <w:r>
        <w:rPr>
          <w:szCs w:val="32"/>
        </w:rPr>
        <w:t>《重庆市生态文明建设示范乡镇管理规程及建设指标》（渝环办〔2020〕8号）文件规定，结合《重庆市永川区人民政府关于印发重庆市永川区国民经济和社会发展第十四个五年规划和二〇三五年远景目标纲要》（永川府发〔2021〕9号）、《永川区生态环境保护“十四五”规划和二〇三五年远景目标》（永川府办发〔2021〕60号）等相关规划</w:t>
      </w:r>
      <w:r>
        <w:rPr>
          <w:rFonts w:hint="eastAsia"/>
          <w:szCs w:val="32"/>
        </w:rPr>
        <w:t>要求</w:t>
      </w:r>
      <w:r>
        <w:rPr>
          <w:szCs w:val="32"/>
        </w:rPr>
        <w:t>，编制</w:t>
      </w:r>
      <w:r>
        <w:rPr>
          <w:rFonts w:hint="eastAsia"/>
          <w:szCs w:val="32"/>
        </w:rPr>
        <w:t>完成</w:t>
      </w:r>
      <w:r>
        <w:rPr>
          <w:szCs w:val="32"/>
        </w:rPr>
        <w:t>《永川区</w:t>
      </w:r>
      <w:r>
        <w:rPr>
          <w:rFonts w:hint="eastAsia"/>
          <w:szCs w:val="32"/>
        </w:rPr>
        <w:t>金龙镇</w:t>
      </w:r>
      <w:r>
        <w:rPr>
          <w:szCs w:val="32"/>
        </w:rPr>
        <w:t>创建重庆市生态文明建设示范</w:t>
      </w:r>
      <w:r>
        <w:rPr>
          <w:rFonts w:hint="eastAsia"/>
          <w:szCs w:val="32"/>
        </w:rPr>
        <w:t>镇</w:t>
      </w:r>
      <w:r>
        <w:rPr>
          <w:szCs w:val="32"/>
        </w:rPr>
        <w:t>规划》（以下简称《规划》）。</w:t>
      </w:r>
    </w:p>
    <w:p>
      <w:pPr>
        <w:ind w:firstLine="634" w:firstLineChars="200"/>
        <w:rPr>
          <w:rFonts w:eastAsia="方正黑体_GBK"/>
          <w:szCs w:val="32"/>
        </w:rPr>
      </w:pPr>
      <w:r>
        <w:rPr>
          <w:rFonts w:hint="eastAsia"/>
          <w:szCs w:val="32"/>
        </w:rPr>
        <w:t>本《规划》牢固树立新发展理念，在深刻把握金龙镇发展定位以及金龙镇生态文明建设形势的基础上，明确创建工作的范围与时限、总体目标与阶段性目标、创建主要任务和重点工程，</w:t>
      </w:r>
      <w:r>
        <w:rPr>
          <w:rFonts w:hint="eastAsia"/>
          <w:color w:val="auto"/>
          <w:szCs w:val="32"/>
        </w:rPr>
        <w:t>形</w:t>
      </w:r>
      <w:r>
        <w:rPr>
          <w:rFonts w:hint="eastAsia"/>
          <w:szCs w:val="32"/>
        </w:rPr>
        <w:t>成全镇生态文明建设的指导文件和行动纲领。</w:t>
      </w:r>
    </w:p>
    <w:p>
      <w:pPr>
        <w:rPr>
          <w:rFonts w:eastAsia="方正黑体_GBK"/>
          <w:szCs w:val="32"/>
        </w:rPr>
        <w:sectPr>
          <w:footerReference r:id="rId5" w:type="default"/>
          <w:footerReference r:id="rId6" w:type="even"/>
          <w:pgSz w:w="11906" w:h="16838"/>
          <w:pgMar w:top="2098" w:right="1474" w:bottom="1985" w:left="1588" w:header="851" w:footer="992" w:gutter="0"/>
          <w:pgNumType w:fmt="upperRoman" w:start="1"/>
          <w:cols w:space="720" w:num="1"/>
          <w:docGrid w:type="linesAndChars" w:linePitch="579" w:charSpace="-819"/>
        </w:sectPr>
      </w:pPr>
    </w:p>
    <w:p>
      <w:pPr>
        <w:jc w:val="center"/>
        <w:rPr>
          <w:rFonts w:eastAsia="方正黑体_GBK"/>
          <w:szCs w:val="32"/>
        </w:rPr>
      </w:pPr>
      <w:r>
        <w:rPr>
          <w:rFonts w:eastAsia="方正黑体_GBK"/>
          <w:szCs w:val="32"/>
        </w:rPr>
        <w:t>目  录</w:t>
      </w:r>
    </w:p>
    <w:p>
      <w:pPr>
        <w:pStyle w:val="8"/>
        <w:tabs>
          <w:tab w:val="right" w:leader="dot" w:pos="8834"/>
        </w:tabs>
        <w:rPr>
          <w:rFonts w:ascii="等线" w:hAnsi="等线" w:eastAsia="等线"/>
          <w:sz w:val="21"/>
        </w:rPr>
      </w:pPr>
      <w:r>
        <w:rPr>
          <w:szCs w:val="32"/>
        </w:rPr>
        <w:fldChar w:fldCharType="begin"/>
      </w:r>
      <w:r>
        <w:rPr>
          <w:szCs w:val="32"/>
        </w:rPr>
        <w:instrText xml:space="preserve"> TOC \o "1-3" \h \z \u </w:instrText>
      </w:r>
      <w:r>
        <w:rPr>
          <w:szCs w:val="32"/>
        </w:rPr>
        <w:fldChar w:fldCharType="separate"/>
      </w:r>
      <w:r>
        <w:rPr>
          <w:rStyle w:val="14"/>
        </w:rPr>
        <w:fldChar w:fldCharType="begin"/>
      </w:r>
      <w:r>
        <w:rPr>
          <w:rStyle w:val="14"/>
        </w:rPr>
        <w:instrText xml:space="preserve"> </w:instrText>
      </w:r>
      <w:r>
        <w:instrText xml:space="preserve">HYPERLINK \l "_Toc106638385"</w:instrText>
      </w:r>
      <w:r>
        <w:rPr>
          <w:rStyle w:val="14"/>
        </w:rPr>
        <w:instrText xml:space="preserve"> </w:instrText>
      </w:r>
      <w:r>
        <w:rPr>
          <w:rStyle w:val="14"/>
        </w:rPr>
        <w:fldChar w:fldCharType="separate"/>
      </w:r>
      <w:r>
        <w:rPr>
          <w:rStyle w:val="14"/>
          <w:rFonts w:eastAsia="方正黑体_GBK"/>
        </w:rPr>
        <w:t>前  言</w:t>
      </w:r>
      <w:r>
        <w:tab/>
      </w:r>
      <w:r>
        <w:fldChar w:fldCharType="begin"/>
      </w:r>
      <w:r>
        <w:instrText xml:space="preserve"> PAGEREF _Toc106638385 \h </w:instrText>
      </w:r>
      <w:r>
        <w:fldChar w:fldCharType="separate"/>
      </w:r>
      <w:r>
        <w:t>I</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"_Toc106638386"</w:instrText>
      </w:r>
      <w:r>
        <w:rPr>
          <w:rStyle w:val="14"/>
        </w:rPr>
        <w:instrText xml:space="preserve"> </w:instrText>
      </w:r>
      <w:r>
        <w:rPr>
          <w:rStyle w:val="14"/>
        </w:rPr>
        <w:fldChar w:fldCharType="separate"/>
      </w:r>
      <w:r>
        <w:rPr>
          <w:rStyle w:val="14"/>
          <w:rFonts w:eastAsia="方正黑体_GBK"/>
        </w:rPr>
        <w:t>1总则</w:t>
      </w:r>
      <w:r>
        <w:tab/>
      </w:r>
      <w:r>
        <w:fldChar w:fldCharType="begin"/>
      </w:r>
      <w:r>
        <w:instrText xml:space="preserve"> PAGEREF _Toc106638386 \h </w:instrText>
      </w:r>
      <w:r>
        <w:fldChar w:fldCharType="separate"/>
      </w:r>
      <w:r>
        <w:t>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"_Toc106638387"</w:instrText>
      </w:r>
      <w:r>
        <w:rPr>
          <w:rStyle w:val="14"/>
        </w:rPr>
        <w:instrText xml:space="preserve"> </w:instrText>
      </w:r>
      <w:r>
        <w:rPr>
          <w:rStyle w:val="14"/>
        </w:rPr>
        <w:fldChar w:fldCharType="separate"/>
      </w:r>
      <w:r>
        <w:rPr>
          <w:rStyle w:val="14"/>
          <w:rFonts w:eastAsia="方正楷体_GBK"/>
        </w:rPr>
        <w:t>1.1指导思想</w:t>
      </w:r>
      <w:r>
        <w:tab/>
      </w:r>
      <w:r>
        <w:fldChar w:fldCharType="begin"/>
      </w:r>
      <w:r>
        <w:instrText xml:space="preserve"> PAGEREF _Toc106638387 \h </w:instrText>
      </w:r>
      <w:r>
        <w:fldChar w:fldCharType="separate"/>
      </w:r>
      <w:r>
        <w:t>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"_Toc106638388"</w:instrText>
      </w:r>
      <w:r>
        <w:rPr>
          <w:rStyle w:val="14"/>
        </w:rPr>
        <w:instrText xml:space="preserve"> </w:instrText>
      </w:r>
      <w:r>
        <w:rPr>
          <w:rStyle w:val="14"/>
        </w:rPr>
        <w:fldChar w:fldCharType="separate"/>
      </w:r>
      <w:r>
        <w:rPr>
          <w:rStyle w:val="14"/>
          <w:rFonts w:eastAsia="方正楷体_GBK"/>
        </w:rPr>
        <w:t>1.2基本原则</w:t>
      </w:r>
      <w:r>
        <w:tab/>
      </w:r>
      <w:r>
        <w:fldChar w:fldCharType="begin"/>
      </w:r>
      <w:r>
        <w:instrText xml:space="preserve"> PAGEREF _Toc106638388 \h </w:instrText>
      </w:r>
      <w:r>
        <w:fldChar w:fldCharType="separate"/>
      </w:r>
      <w:r>
        <w:t>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"_Toc106638389"</w:instrText>
      </w:r>
      <w:r>
        <w:rPr>
          <w:rStyle w:val="14"/>
        </w:rPr>
        <w:instrText xml:space="preserve"> </w:instrText>
      </w:r>
      <w:r>
        <w:rPr>
          <w:rStyle w:val="14"/>
        </w:rPr>
        <w:fldChar w:fldCharType="separate"/>
      </w:r>
      <w:r>
        <w:rPr>
          <w:rStyle w:val="14"/>
          <w:rFonts w:eastAsia="方正楷体_GBK"/>
        </w:rPr>
        <w:t>1.3编制依据</w:t>
      </w:r>
      <w:r>
        <w:tab/>
      </w:r>
      <w:r>
        <w:fldChar w:fldCharType="begin"/>
      </w:r>
      <w:r>
        <w:instrText xml:space="preserve"> PAGEREF _Toc106638389 \h </w:instrText>
      </w:r>
      <w:r>
        <w:fldChar w:fldCharType="separate"/>
      </w:r>
      <w:r>
        <w:t>2</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"_Toc106638393"</w:instrText>
      </w:r>
      <w:r>
        <w:rPr>
          <w:rStyle w:val="14"/>
        </w:rPr>
        <w:instrText xml:space="preserve"> </w:instrText>
      </w:r>
      <w:r>
        <w:rPr>
          <w:rStyle w:val="14"/>
        </w:rPr>
        <w:fldChar w:fldCharType="separate"/>
      </w:r>
      <w:r>
        <w:rPr>
          <w:rStyle w:val="14"/>
          <w:rFonts w:eastAsia="方正楷体_GBK"/>
        </w:rPr>
        <w:t>1.4规划范围及时限</w:t>
      </w:r>
      <w:r>
        <w:tab/>
      </w:r>
      <w:r>
        <w:fldChar w:fldCharType="begin"/>
      </w:r>
      <w:r>
        <w:instrText xml:space="preserve"> PAGEREF _Toc106638393 \h </w:instrText>
      </w:r>
      <w:r>
        <w:fldChar w:fldCharType="separate"/>
      </w:r>
      <w:r>
        <w:t>6</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"_Toc106638394"</w:instrText>
      </w:r>
      <w:r>
        <w:rPr>
          <w:rStyle w:val="14"/>
        </w:rPr>
        <w:instrText xml:space="preserve"> </w:instrText>
      </w:r>
      <w:r>
        <w:rPr>
          <w:rStyle w:val="14"/>
        </w:rPr>
        <w:fldChar w:fldCharType="separate"/>
      </w:r>
      <w:r>
        <w:rPr>
          <w:rStyle w:val="14"/>
          <w:rFonts w:eastAsia="方正黑体_GBK"/>
        </w:rPr>
        <w:t>2现状与问题</w:t>
      </w:r>
      <w:r>
        <w:tab/>
      </w:r>
      <w:r>
        <w:fldChar w:fldCharType="begin"/>
      </w:r>
      <w:r>
        <w:instrText xml:space="preserve"> PAGEREF _Toc106638394 \h </w:instrText>
      </w:r>
      <w:r>
        <w:fldChar w:fldCharType="separate"/>
      </w:r>
      <w:r>
        <w:t>6</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"_Toc106638395"</w:instrText>
      </w:r>
      <w:r>
        <w:rPr>
          <w:rStyle w:val="14"/>
        </w:rPr>
        <w:instrText xml:space="preserve"> </w:instrText>
      </w:r>
      <w:r>
        <w:rPr>
          <w:rStyle w:val="14"/>
        </w:rPr>
        <w:fldChar w:fldCharType="separate"/>
      </w:r>
      <w:r>
        <w:rPr>
          <w:rStyle w:val="14"/>
          <w:rFonts w:eastAsia="方正楷体_GBK"/>
        </w:rPr>
        <w:t>2.1乡镇概况</w:t>
      </w:r>
      <w:r>
        <w:tab/>
      </w:r>
      <w:r>
        <w:fldChar w:fldCharType="begin"/>
      </w:r>
      <w:r>
        <w:instrText xml:space="preserve"> PAGEREF _Toc106638395 \h </w:instrText>
      </w:r>
      <w:r>
        <w:fldChar w:fldCharType="separate"/>
      </w:r>
      <w:r>
        <w:t>6</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"_Toc106638399"</w:instrText>
      </w:r>
      <w:r>
        <w:rPr>
          <w:rStyle w:val="14"/>
        </w:rPr>
        <w:instrText xml:space="preserve"> </w:instrText>
      </w:r>
      <w:r>
        <w:rPr>
          <w:rStyle w:val="14"/>
        </w:rPr>
        <w:fldChar w:fldCharType="separate"/>
      </w:r>
      <w:r>
        <w:rPr>
          <w:rStyle w:val="14"/>
          <w:rFonts w:eastAsia="方正楷体_GBK"/>
        </w:rPr>
        <w:t>2.2创建基础</w:t>
      </w:r>
      <w:r>
        <w:tab/>
      </w:r>
      <w:r>
        <w:fldChar w:fldCharType="begin"/>
      </w:r>
      <w:r>
        <w:instrText xml:space="preserve"> PAGEREF _Toc106638399 \h </w:instrText>
      </w:r>
      <w:r>
        <w:fldChar w:fldCharType="separate"/>
      </w:r>
      <w:r>
        <w:t>10</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"_Toc106638405"</w:instrText>
      </w:r>
      <w:r>
        <w:rPr>
          <w:rStyle w:val="14"/>
        </w:rPr>
        <w:instrText xml:space="preserve"> </w:instrText>
      </w:r>
      <w:r>
        <w:rPr>
          <w:rStyle w:val="14"/>
        </w:rPr>
        <w:fldChar w:fldCharType="separate"/>
      </w:r>
      <w:r>
        <w:rPr>
          <w:rStyle w:val="14"/>
          <w:rFonts w:eastAsia="方正楷体_GBK"/>
        </w:rPr>
        <w:t>2.3存在的问题</w:t>
      </w:r>
      <w:r>
        <w:tab/>
      </w:r>
      <w:r>
        <w:fldChar w:fldCharType="begin"/>
      </w:r>
      <w:r>
        <w:instrText xml:space="preserve"> PAGEREF _Toc106638405 \h </w:instrText>
      </w:r>
      <w:r>
        <w:fldChar w:fldCharType="separate"/>
      </w:r>
      <w:r>
        <w:t>15</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"_Toc106638406"</w:instrText>
      </w:r>
      <w:r>
        <w:rPr>
          <w:rStyle w:val="14"/>
        </w:rPr>
        <w:instrText xml:space="preserve"> </w:instrText>
      </w:r>
      <w:r>
        <w:rPr>
          <w:rStyle w:val="14"/>
        </w:rPr>
        <w:fldChar w:fldCharType="separate"/>
      </w:r>
      <w:r>
        <w:rPr>
          <w:rStyle w:val="14"/>
          <w:rFonts w:eastAsia="方正楷体_GBK"/>
        </w:rPr>
        <w:t>2.4面临的形势</w:t>
      </w:r>
      <w:r>
        <w:tab/>
      </w:r>
      <w:r>
        <w:fldChar w:fldCharType="begin"/>
      </w:r>
      <w:r>
        <w:instrText xml:space="preserve"> PAGEREF _Toc106638406 \h </w:instrText>
      </w:r>
      <w:r>
        <w:fldChar w:fldCharType="separate"/>
      </w:r>
      <w:r>
        <w:t>17</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"_Toc106638407"</w:instrText>
      </w:r>
      <w:r>
        <w:rPr>
          <w:rStyle w:val="14"/>
        </w:rPr>
        <w:instrText xml:space="preserve"> </w:instrText>
      </w:r>
      <w:r>
        <w:rPr>
          <w:rStyle w:val="14"/>
        </w:rPr>
        <w:fldChar w:fldCharType="separate"/>
      </w:r>
      <w:r>
        <w:rPr>
          <w:rStyle w:val="14"/>
          <w:rFonts w:eastAsia="方正黑体_GBK"/>
        </w:rPr>
        <w:t>3规划目标与指标</w:t>
      </w:r>
      <w:r>
        <w:tab/>
      </w:r>
      <w:r>
        <w:fldChar w:fldCharType="begin"/>
      </w:r>
      <w:r>
        <w:instrText xml:space="preserve"> PAGEREF _Toc106638407 \h </w:instrText>
      </w:r>
      <w:r>
        <w:fldChar w:fldCharType="separate"/>
      </w:r>
      <w:r>
        <w:t>18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"_Toc106638408"</w:instrText>
      </w:r>
      <w:r>
        <w:rPr>
          <w:rStyle w:val="14"/>
        </w:rPr>
        <w:instrText xml:space="preserve"> </w:instrText>
      </w:r>
      <w:r>
        <w:rPr>
          <w:rStyle w:val="14"/>
        </w:rPr>
        <w:fldChar w:fldCharType="separate"/>
      </w:r>
      <w:r>
        <w:rPr>
          <w:rStyle w:val="14"/>
          <w:rFonts w:eastAsia="方正楷体_GBK"/>
        </w:rPr>
        <w:t>3.1规划目标</w:t>
      </w:r>
      <w:r>
        <w:tab/>
      </w:r>
      <w:r>
        <w:fldChar w:fldCharType="begin"/>
      </w:r>
      <w:r>
        <w:instrText xml:space="preserve"> PAGEREF _Toc106638408 \h </w:instrText>
      </w:r>
      <w:r>
        <w:fldChar w:fldCharType="separate"/>
      </w:r>
      <w:r>
        <w:t>18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"_Toc106638409"</w:instrText>
      </w:r>
      <w:r>
        <w:rPr>
          <w:rStyle w:val="14"/>
        </w:rPr>
        <w:instrText xml:space="preserve"> </w:instrText>
      </w:r>
      <w:r>
        <w:rPr>
          <w:rStyle w:val="14"/>
        </w:rPr>
        <w:fldChar w:fldCharType="separate"/>
      </w:r>
      <w:r>
        <w:rPr>
          <w:rStyle w:val="14"/>
          <w:rFonts w:eastAsia="方正楷体_GBK"/>
        </w:rPr>
        <w:t>3.2规划指标</w:t>
      </w:r>
      <w:r>
        <w:tab/>
      </w:r>
      <w:r>
        <w:fldChar w:fldCharType="begin"/>
      </w:r>
      <w:r>
        <w:instrText xml:space="preserve"> PAGEREF _Toc106638409 \h </w:instrText>
      </w:r>
      <w:r>
        <w:fldChar w:fldCharType="separate"/>
      </w:r>
      <w:r>
        <w:t>19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"_Toc106638410"</w:instrText>
      </w:r>
      <w:r>
        <w:rPr>
          <w:rStyle w:val="14"/>
        </w:rPr>
        <w:instrText xml:space="preserve"> </w:instrText>
      </w:r>
      <w:r>
        <w:rPr>
          <w:rStyle w:val="14"/>
        </w:rPr>
        <w:fldChar w:fldCharType="separate"/>
      </w:r>
      <w:r>
        <w:rPr>
          <w:rStyle w:val="14"/>
          <w:rFonts w:eastAsia="方正楷体_GBK"/>
        </w:rPr>
        <w:t>3.3指标现状分析</w:t>
      </w:r>
      <w:r>
        <w:tab/>
      </w:r>
      <w:r>
        <w:fldChar w:fldCharType="begin"/>
      </w:r>
      <w:r>
        <w:instrText xml:space="preserve"> PAGEREF _Toc106638410 \h </w:instrText>
      </w:r>
      <w:r>
        <w:fldChar w:fldCharType="separate"/>
      </w:r>
      <w:r>
        <w:t>21</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"_Toc106638418"</w:instrText>
      </w:r>
      <w:r>
        <w:rPr>
          <w:rStyle w:val="14"/>
        </w:rPr>
        <w:instrText xml:space="preserve"> </w:instrText>
      </w:r>
      <w:r>
        <w:rPr>
          <w:rStyle w:val="14"/>
        </w:rPr>
        <w:fldChar w:fldCharType="separate"/>
      </w:r>
      <w:r>
        <w:rPr>
          <w:rStyle w:val="14"/>
          <w:rFonts w:eastAsia="方正黑体_GBK"/>
        </w:rPr>
        <w:t>4重点任务</w:t>
      </w:r>
      <w:r>
        <w:tab/>
      </w:r>
      <w:r>
        <w:fldChar w:fldCharType="begin"/>
      </w:r>
      <w:r>
        <w:instrText xml:space="preserve"> PAGEREF _Toc106638418 \h </w:instrText>
      </w:r>
      <w:r>
        <w:fldChar w:fldCharType="separate"/>
      </w:r>
      <w:r>
        <w:t>38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"_Toc106638419"</w:instrText>
      </w:r>
      <w:r>
        <w:rPr>
          <w:rStyle w:val="14"/>
        </w:rPr>
        <w:instrText xml:space="preserve"> </w:instrText>
      </w:r>
      <w:r>
        <w:rPr>
          <w:rStyle w:val="14"/>
        </w:rPr>
        <w:fldChar w:fldCharType="separate"/>
      </w:r>
      <w:r>
        <w:rPr>
          <w:rStyle w:val="14"/>
          <w:rFonts w:eastAsia="方正楷体_GBK"/>
        </w:rPr>
        <w:t>4.1落实生态制度，纵深推进生态文明建设</w:t>
      </w:r>
      <w:r>
        <w:tab/>
      </w:r>
      <w:r>
        <w:fldChar w:fldCharType="begin"/>
      </w:r>
      <w:r>
        <w:instrText xml:space="preserve"> PAGEREF _Toc106638419 \h </w:instrText>
      </w:r>
      <w:r>
        <w:fldChar w:fldCharType="separate"/>
      </w:r>
      <w:r>
        <w:t>38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"_Toc106638423"</w:instrText>
      </w:r>
      <w:r>
        <w:rPr>
          <w:rStyle w:val="14"/>
        </w:rPr>
        <w:instrText xml:space="preserve"> </w:instrText>
      </w:r>
      <w:r>
        <w:rPr>
          <w:rStyle w:val="14"/>
        </w:rPr>
        <w:fldChar w:fldCharType="separate"/>
      </w:r>
      <w:r>
        <w:rPr>
          <w:rStyle w:val="14"/>
          <w:rFonts w:eastAsia="方正楷体_GBK"/>
        </w:rPr>
        <w:t>4.2扩大农业生态优势，丰富绿色“菜篮子”</w:t>
      </w:r>
      <w:r>
        <w:tab/>
      </w:r>
      <w:r>
        <w:fldChar w:fldCharType="begin"/>
      </w:r>
      <w:r>
        <w:instrText xml:space="preserve"> PAGEREF _Toc106638423 \h </w:instrText>
      </w:r>
      <w:r>
        <w:fldChar w:fldCharType="separate"/>
      </w:r>
      <w:r>
        <w:t>39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"_Toc106638427"</w:instrText>
      </w:r>
      <w:r>
        <w:rPr>
          <w:rStyle w:val="14"/>
        </w:rPr>
        <w:instrText xml:space="preserve"> </w:instrText>
      </w:r>
      <w:r>
        <w:rPr>
          <w:rStyle w:val="14"/>
        </w:rPr>
        <w:fldChar w:fldCharType="separate"/>
      </w:r>
      <w:r>
        <w:rPr>
          <w:rStyle w:val="14"/>
          <w:rFonts w:eastAsia="方正楷体_GBK"/>
        </w:rPr>
        <w:t>4.3深入打好污染防治攻坚战，持续改善生态环境质量</w:t>
      </w:r>
      <w:r>
        <w:tab/>
      </w:r>
      <w:r>
        <w:fldChar w:fldCharType="begin"/>
      </w:r>
      <w:r>
        <w:instrText xml:space="preserve"> PAGEREF _Toc106638427 \h </w:instrText>
      </w:r>
      <w:r>
        <w:fldChar w:fldCharType="separate"/>
      </w:r>
      <w:r>
        <w:t>43</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"_Toc106638432"</w:instrText>
      </w:r>
      <w:r>
        <w:rPr>
          <w:rStyle w:val="14"/>
        </w:rPr>
        <w:instrText xml:space="preserve"> </w:instrText>
      </w:r>
      <w:r>
        <w:rPr>
          <w:rStyle w:val="14"/>
        </w:rPr>
        <w:fldChar w:fldCharType="separate"/>
      </w:r>
      <w:r>
        <w:rPr>
          <w:rStyle w:val="14"/>
          <w:rFonts w:eastAsia="方正楷体_GBK"/>
        </w:rPr>
        <w:t>4.4优化区域空间布局，展现九龙生态风光</w:t>
      </w:r>
      <w:r>
        <w:tab/>
      </w:r>
      <w:r>
        <w:fldChar w:fldCharType="begin"/>
      </w:r>
      <w:r>
        <w:instrText xml:space="preserve"> PAGEREF _Toc106638432 \h </w:instrText>
      </w:r>
      <w:r>
        <w:fldChar w:fldCharType="separate"/>
      </w:r>
      <w:r>
        <w:t>48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"_Toc106638436"</w:instrText>
      </w:r>
      <w:r>
        <w:rPr>
          <w:rStyle w:val="14"/>
        </w:rPr>
        <w:instrText xml:space="preserve"> </w:instrText>
      </w:r>
      <w:r>
        <w:rPr>
          <w:rStyle w:val="14"/>
        </w:rPr>
        <w:fldChar w:fldCharType="separate"/>
      </w:r>
      <w:r>
        <w:rPr>
          <w:rStyle w:val="14"/>
          <w:rFonts w:eastAsia="方正楷体_GBK"/>
        </w:rPr>
        <w:t>4.5落实环境风险防控要求，不断完善安全体系</w:t>
      </w:r>
      <w:r>
        <w:tab/>
      </w:r>
      <w:r>
        <w:fldChar w:fldCharType="begin"/>
      </w:r>
      <w:r>
        <w:instrText xml:space="preserve"> PAGEREF _Toc106638436 \h </w:instrText>
      </w:r>
      <w:r>
        <w:fldChar w:fldCharType="separate"/>
      </w:r>
      <w:r>
        <w:t>50</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"_Toc106638440"</w:instrText>
      </w:r>
      <w:r>
        <w:rPr>
          <w:rStyle w:val="14"/>
        </w:rPr>
        <w:instrText xml:space="preserve"> </w:instrText>
      </w:r>
      <w:r>
        <w:rPr>
          <w:rStyle w:val="14"/>
        </w:rPr>
        <w:fldChar w:fldCharType="separate"/>
      </w:r>
      <w:r>
        <w:rPr>
          <w:rStyle w:val="14"/>
          <w:rFonts w:eastAsia="方正楷体_GBK"/>
        </w:rPr>
        <w:t>4.6持续改善人居环境，建设美丽宜居乡村</w:t>
      </w:r>
      <w:r>
        <w:tab/>
      </w:r>
      <w:r>
        <w:fldChar w:fldCharType="begin"/>
      </w:r>
      <w:r>
        <w:instrText xml:space="preserve"> PAGEREF _Toc106638440 \h </w:instrText>
      </w:r>
      <w:r>
        <w:fldChar w:fldCharType="separate"/>
      </w:r>
      <w:r>
        <w:t>52</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"_Toc106638444"</w:instrText>
      </w:r>
      <w:r>
        <w:rPr>
          <w:rStyle w:val="14"/>
        </w:rPr>
        <w:instrText xml:space="preserve"> </w:instrText>
      </w:r>
      <w:r>
        <w:rPr>
          <w:rStyle w:val="14"/>
        </w:rPr>
        <w:fldChar w:fldCharType="separate"/>
      </w:r>
      <w:r>
        <w:rPr>
          <w:rStyle w:val="14"/>
          <w:rFonts w:eastAsia="方正楷体_GBK"/>
        </w:rPr>
        <w:t>4.7培育繁荣生态文化，打造九龙民俗文化体验园</w:t>
      </w:r>
      <w:r>
        <w:tab/>
      </w:r>
      <w:r>
        <w:fldChar w:fldCharType="begin"/>
      </w:r>
      <w:r>
        <w:instrText xml:space="preserve"> PAGEREF _Toc106638444 \h </w:instrText>
      </w:r>
      <w:r>
        <w:fldChar w:fldCharType="separate"/>
      </w:r>
      <w:r>
        <w:t>54</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"_Toc106638448"</w:instrText>
      </w:r>
      <w:r>
        <w:rPr>
          <w:rStyle w:val="14"/>
        </w:rPr>
        <w:instrText xml:space="preserve"> </w:instrText>
      </w:r>
      <w:r>
        <w:rPr>
          <w:rStyle w:val="14"/>
        </w:rPr>
        <w:fldChar w:fldCharType="separate"/>
      </w:r>
      <w:r>
        <w:rPr>
          <w:rStyle w:val="14"/>
          <w:rFonts w:eastAsia="方正黑体_GBK"/>
        </w:rPr>
        <w:t>5实施一批重点工程</w:t>
      </w:r>
      <w:r>
        <w:tab/>
      </w:r>
      <w:r>
        <w:fldChar w:fldCharType="begin"/>
      </w:r>
      <w:r>
        <w:instrText xml:space="preserve"> PAGEREF _Toc106638448 \h </w:instrText>
      </w:r>
      <w:r>
        <w:fldChar w:fldCharType="separate"/>
      </w:r>
      <w:r>
        <w:t>57</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"_Toc106638449"</w:instrText>
      </w:r>
      <w:r>
        <w:rPr>
          <w:rStyle w:val="14"/>
        </w:rPr>
        <w:instrText xml:space="preserve"> </w:instrText>
      </w:r>
      <w:r>
        <w:rPr>
          <w:rStyle w:val="14"/>
        </w:rPr>
        <w:fldChar w:fldCharType="separate"/>
      </w:r>
      <w:r>
        <w:rPr>
          <w:rStyle w:val="14"/>
          <w:rFonts w:eastAsia="方正楷体_GBK"/>
        </w:rPr>
        <w:t>5.1重点工程</w:t>
      </w:r>
      <w:r>
        <w:tab/>
      </w:r>
      <w:r>
        <w:fldChar w:fldCharType="begin"/>
      </w:r>
      <w:r>
        <w:instrText xml:space="preserve"> PAGEREF _Toc106638449 \h </w:instrText>
      </w:r>
      <w:r>
        <w:fldChar w:fldCharType="separate"/>
      </w:r>
      <w:r>
        <w:t>57</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"_Toc106638450"</w:instrText>
      </w:r>
      <w:r>
        <w:rPr>
          <w:rStyle w:val="14"/>
        </w:rPr>
        <w:instrText xml:space="preserve"> </w:instrText>
      </w:r>
      <w:r>
        <w:rPr>
          <w:rStyle w:val="14"/>
        </w:rPr>
        <w:fldChar w:fldCharType="separate"/>
      </w:r>
      <w:r>
        <w:rPr>
          <w:rStyle w:val="14"/>
          <w:rFonts w:eastAsia="方正楷体_GBK"/>
        </w:rPr>
        <w:t>5.2资金筹措</w:t>
      </w:r>
      <w:r>
        <w:tab/>
      </w:r>
      <w:r>
        <w:fldChar w:fldCharType="begin"/>
      </w:r>
      <w:r>
        <w:instrText xml:space="preserve"> PAGEREF _Toc106638450 \h </w:instrText>
      </w:r>
      <w:r>
        <w:fldChar w:fldCharType="separate"/>
      </w:r>
      <w:r>
        <w:t>58</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"_Toc106638451"</w:instrText>
      </w:r>
      <w:r>
        <w:rPr>
          <w:rStyle w:val="14"/>
        </w:rPr>
        <w:instrText xml:space="preserve"> </w:instrText>
      </w:r>
      <w:r>
        <w:rPr>
          <w:rStyle w:val="14"/>
        </w:rPr>
        <w:fldChar w:fldCharType="separate"/>
      </w:r>
      <w:r>
        <w:rPr>
          <w:rStyle w:val="14"/>
          <w:rFonts w:eastAsia="方正黑体_GBK"/>
        </w:rPr>
        <w:t>6效益分析</w:t>
      </w:r>
      <w:r>
        <w:tab/>
      </w:r>
      <w:r>
        <w:fldChar w:fldCharType="begin"/>
      </w:r>
      <w:r>
        <w:instrText xml:space="preserve"> PAGEREF _Toc106638451 \h </w:instrText>
      </w:r>
      <w:r>
        <w:fldChar w:fldCharType="separate"/>
      </w:r>
      <w:r>
        <w:t>59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"_Toc106638452"</w:instrText>
      </w:r>
      <w:r>
        <w:rPr>
          <w:rStyle w:val="14"/>
        </w:rPr>
        <w:instrText xml:space="preserve"> </w:instrText>
      </w:r>
      <w:r>
        <w:rPr>
          <w:rStyle w:val="14"/>
        </w:rPr>
        <w:fldChar w:fldCharType="separate"/>
      </w:r>
      <w:r>
        <w:rPr>
          <w:rStyle w:val="14"/>
          <w:rFonts w:eastAsia="方正楷体_GBK"/>
        </w:rPr>
        <w:t>6.1环境效益</w:t>
      </w:r>
      <w:r>
        <w:tab/>
      </w:r>
      <w:r>
        <w:fldChar w:fldCharType="begin"/>
      </w:r>
      <w:r>
        <w:instrText xml:space="preserve"> PAGEREF _Toc106638452 \h </w:instrText>
      </w:r>
      <w:r>
        <w:fldChar w:fldCharType="separate"/>
      </w:r>
      <w:r>
        <w:t>59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"_Toc106638453"</w:instrText>
      </w:r>
      <w:r>
        <w:rPr>
          <w:rStyle w:val="14"/>
        </w:rPr>
        <w:instrText xml:space="preserve"> </w:instrText>
      </w:r>
      <w:r>
        <w:rPr>
          <w:rStyle w:val="14"/>
        </w:rPr>
        <w:fldChar w:fldCharType="separate"/>
      </w:r>
      <w:r>
        <w:rPr>
          <w:rStyle w:val="14"/>
          <w:rFonts w:eastAsia="方正楷体_GBK"/>
        </w:rPr>
        <w:t>6.2经济效益</w:t>
      </w:r>
      <w:r>
        <w:tab/>
      </w:r>
      <w:r>
        <w:fldChar w:fldCharType="begin"/>
      </w:r>
      <w:r>
        <w:instrText xml:space="preserve"> PAGEREF _Toc106638453 \h </w:instrText>
      </w:r>
      <w:r>
        <w:fldChar w:fldCharType="separate"/>
      </w:r>
      <w:r>
        <w:t>59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"_Toc106638454"</w:instrText>
      </w:r>
      <w:r>
        <w:rPr>
          <w:rStyle w:val="14"/>
        </w:rPr>
        <w:instrText xml:space="preserve"> </w:instrText>
      </w:r>
      <w:r>
        <w:rPr>
          <w:rStyle w:val="14"/>
        </w:rPr>
        <w:fldChar w:fldCharType="separate"/>
      </w:r>
      <w:r>
        <w:rPr>
          <w:rStyle w:val="14"/>
          <w:rFonts w:eastAsia="方正楷体_GBK"/>
        </w:rPr>
        <w:t>6.3社会效益</w:t>
      </w:r>
      <w:r>
        <w:tab/>
      </w:r>
      <w:r>
        <w:fldChar w:fldCharType="begin"/>
      </w:r>
      <w:r>
        <w:instrText xml:space="preserve"> PAGEREF _Toc106638454 \h </w:instrText>
      </w:r>
      <w:r>
        <w:fldChar w:fldCharType="separate"/>
      </w:r>
      <w:r>
        <w:t>60</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"_Toc106638455"</w:instrText>
      </w:r>
      <w:r>
        <w:rPr>
          <w:rStyle w:val="14"/>
        </w:rPr>
        <w:instrText xml:space="preserve"> </w:instrText>
      </w:r>
      <w:r>
        <w:rPr>
          <w:rStyle w:val="14"/>
        </w:rPr>
        <w:fldChar w:fldCharType="separate"/>
      </w:r>
      <w:r>
        <w:rPr>
          <w:rStyle w:val="14"/>
          <w:rFonts w:eastAsia="方正黑体_GBK"/>
        </w:rPr>
        <w:t>7保障措施</w:t>
      </w:r>
      <w:r>
        <w:tab/>
      </w:r>
      <w:r>
        <w:fldChar w:fldCharType="begin"/>
      </w:r>
      <w:r>
        <w:instrText xml:space="preserve"> PAGEREF _Toc106638455 \h </w:instrText>
      </w:r>
      <w:r>
        <w:fldChar w:fldCharType="separate"/>
      </w:r>
      <w:r>
        <w:t>61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"_Toc106638456"</w:instrText>
      </w:r>
      <w:r>
        <w:rPr>
          <w:rStyle w:val="14"/>
        </w:rPr>
        <w:instrText xml:space="preserve"> </w:instrText>
      </w:r>
      <w:r>
        <w:rPr>
          <w:rStyle w:val="14"/>
        </w:rPr>
        <w:fldChar w:fldCharType="separate"/>
      </w:r>
      <w:r>
        <w:rPr>
          <w:rStyle w:val="14"/>
          <w:rFonts w:eastAsia="方正楷体_GBK"/>
        </w:rPr>
        <w:t>7.1强化组织领导</w:t>
      </w:r>
      <w:r>
        <w:tab/>
      </w:r>
      <w:r>
        <w:fldChar w:fldCharType="begin"/>
      </w:r>
      <w:r>
        <w:instrText xml:space="preserve"> PAGEREF _Toc106638456 \h </w:instrText>
      </w:r>
      <w:r>
        <w:fldChar w:fldCharType="separate"/>
      </w:r>
      <w:r>
        <w:t>61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"_Toc106638457"</w:instrText>
      </w:r>
      <w:r>
        <w:rPr>
          <w:rStyle w:val="14"/>
        </w:rPr>
        <w:instrText xml:space="preserve"> </w:instrText>
      </w:r>
      <w:r>
        <w:rPr>
          <w:rStyle w:val="14"/>
        </w:rPr>
        <w:fldChar w:fldCharType="separate"/>
      </w:r>
      <w:r>
        <w:rPr>
          <w:rStyle w:val="14"/>
          <w:rFonts w:eastAsia="方正楷体_GBK"/>
        </w:rPr>
        <w:t>7.2强化目标考核</w:t>
      </w:r>
      <w:r>
        <w:tab/>
      </w:r>
      <w:r>
        <w:fldChar w:fldCharType="begin"/>
      </w:r>
      <w:r>
        <w:instrText xml:space="preserve"> PAGEREF _Toc106638457 \h </w:instrText>
      </w:r>
      <w:r>
        <w:fldChar w:fldCharType="separate"/>
      </w:r>
      <w:r>
        <w:t>61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"_Toc106638458"</w:instrText>
      </w:r>
      <w:r>
        <w:rPr>
          <w:rStyle w:val="14"/>
        </w:rPr>
        <w:instrText xml:space="preserve"> </w:instrText>
      </w:r>
      <w:r>
        <w:rPr>
          <w:rStyle w:val="14"/>
        </w:rPr>
        <w:fldChar w:fldCharType="separate"/>
      </w:r>
      <w:r>
        <w:rPr>
          <w:rStyle w:val="14"/>
          <w:rFonts w:eastAsia="方正楷体_GBK"/>
        </w:rPr>
        <w:t>7.3完善投资机制</w:t>
      </w:r>
      <w:r>
        <w:tab/>
      </w:r>
      <w:r>
        <w:fldChar w:fldCharType="begin"/>
      </w:r>
      <w:r>
        <w:instrText xml:space="preserve"> PAGEREF _Toc106638458 \h </w:instrText>
      </w:r>
      <w:r>
        <w:fldChar w:fldCharType="separate"/>
      </w:r>
      <w:r>
        <w:t>61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"_Toc106638459"</w:instrText>
      </w:r>
      <w:r>
        <w:rPr>
          <w:rStyle w:val="14"/>
        </w:rPr>
        <w:instrText xml:space="preserve"> </w:instrText>
      </w:r>
      <w:r>
        <w:rPr>
          <w:rStyle w:val="14"/>
        </w:rPr>
        <w:fldChar w:fldCharType="separate"/>
      </w:r>
      <w:r>
        <w:rPr>
          <w:rStyle w:val="14"/>
          <w:rFonts w:eastAsia="方正楷体_GBK"/>
        </w:rPr>
        <w:t>7.4引导公众参与</w:t>
      </w:r>
      <w:r>
        <w:tab/>
      </w:r>
      <w:r>
        <w:fldChar w:fldCharType="begin"/>
      </w:r>
      <w:r>
        <w:instrText xml:space="preserve"> PAGEREF _Toc106638459 \h </w:instrText>
      </w:r>
      <w:r>
        <w:fldChar w:fldCharType="separate"/>
      </w:r>
      <w:r>
        <w:t>62</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"_Toc106638460"</w:instrText>
      </w:r>
      <w:r>
        <w:rPr>
          <w:rStyle w:val="14"/>
        </w:rPr>
        <w:instrText xml:space="preserve"> </w:instrText>
      </w:r>
      <w:r>
        <w:rPr>
          <w:rStyle w:val="14"/>
        </w:rPr>
        <w:fldChar w:fldCharType="separate"/>
      </w:r>
      <w:r>
        <w:rPr>
          <w:rStyle w:val="14"/>
          <w:rFonts w:eastAsia="方正黑体_GBK"/>
        </w:rPr>
        <w:t>附表：</w:t>
      </w:r>
      <w:r>
        <w:tab/>
      </w:r>
      <w:r>
        <w:fldChar w:fldCharType="begin"/>
      </w:r>
      <w:r>
        <w:instrText xml:space="preserve"> PAGEREF _Toc106638460 \h </w:instrText>
      </w:r>
      <w:r>
        <w:fldChar w:fldCharType="separate"/>
      </w:r>
      <w:r>
        <w:t>63</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"_Toc106638461"</w:instrText>
      </w:r>
      <w:r>
        <w:rPr>
          <w:rStyle w:val="14"/>
        </w:rPr>
        <w:instrText xml:space="preserve"> </w:instrText>
      </w:r>
      <w:r>
        <w:rPr>
          <w:rStyle w:val="14"/>
        </w:rPr>
        <w:fldChar w:fldCharType="separate"/>
      </w:r>
      <w:r>
        <w:rPr>
          <w:rStyle w:val="14"/>
          <w:rFonts w:eastAsia="方正楷体_GBK"/>
        </w:rPr>
        <w:t>附表1  永川区金龙镇创建重庆市生态文明建设示范镇规划项目储备库</w:t>
      </w:r>
      <w:r>
        <w:tab/>
      </w:r>
      <w:r>
        <w:fldChar w:fldCharType="begin"/>
      </w:r>
      <w:r>
        <w:instrText xml:space="preserve"> PAGEREF _Toc106638461 \h </w:instrText>
      </w:r>
      <w:r>
        <w:fldChar w:fldCharType="separate"/>
      </w:r>
      <w:r>
        <w:t>63</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"_Toc106638462"</w:instrText>
      </w:r>
      <w:r>
        <w:rPr>
          <w:rStyle w:val="14"/>
        </w:rPr>
        <w:instrText xml:space="preserve"> </w:instrText>
      </w:r>
      <w:r>
        <w:rPr>
          <w:rStyle w:val="14"/>
        </w:rPr>
        <w:fldChar w:fldCharType="separate"/>
      </w:r>
      <w:r>
        <w:rPr>
          <w:rStyle w:val="14"/>
          <w:rFonts w:eastAsia="方正黑体_GBK"/>
        </w:rPr>
        <w:t>附图：</w:t>
      </w:r>
      <w:r>
        <w:tab/>
      </w:r>
      <w:r>
        <w:fldChar w:fldCharType="begin"/>
      </w:r>
      <w:r>
        <w:instrText xml:space="preserve"> PAGEREF _Toc106638462 \h </w:instrText>
      </w:r>
      <w:r>
        <w:fldChar w:fldCharType="separate"/>
      </w:r>
      <w:r>
        <w:t>65</w:t>
      </w:r>
      <w:r>
        <w:fldChar w:fldCharType="end"/>
      </w:r>
      <w:r>
        <w:rPr>
          <w:rStyle w:val="14"/>
        </w:rPr>
        <w:fldChar w:fldCharType="end"/>
      </w:r>
    </w:p>
    <w:p>
      <w:pPr>
        <w:rPr>
          <w:szCs w:val="32"/>
        </w:rPr>
      </w:pPr>
      <w:r>
        <w:rPr>
          <w:szCs w:val="32"/>
        </w:rPr>
        <w:fldChar w:fldCharType="end"/>
      </w:r>
    </w:p>
    <w:p>
      <w:pPr>
        <w:ind w:firstLine="634" w:firstLineChars="200"/>
        <w:rPr>
          <w:szCs w:val="32"/>
        </w:rPr>
      </w:pPr>
    </w:p>
    <w:p>
      <w:pPr>
        <w:ind w:firstLine="634" w:firstLineChars="200"/>
        <w:rPr>
          <w:szCs w:val="32"/>
        </w:rPr>
        <w:sectPr>
          <w:footerReference r:id="rId7" w:type="default"/>
          <w:pgSz w:w="11906" w:h="16838"/>
          <w:pgMar w:top="2098" w:right="1474" w:bottom="1985" w:left="1588" w:header="851" w:footer="992" w:gutter="0"/>
          <w:pgNumType w:fmt="upperRoman" w:start="1"/>
          <w:cols w:space="720" w:num="1"/>
          <w:docGrid w:type="linesAndChars" w:linePitch="579" w:charSpace="-819"/>
        </w:sectPr>
      </w:pPr>
    </w:p>
    <w:p>
      <w:pPr>
        <w:ind w:firstLine="634" w:firstLineChars="200"/>
        <w:jc w:val="left"/>
        <w:outlineLvl w:val="0"/>
        <w:rPr>
          <w:rFonts w:eastAsia="方正黑体_GBK"/>
          <w:szCs w:val="32"/>
        </w:rPr>
      </w:pPr>
      <w:bookmarkStart w:id="2" w:name="_Toc106638386"/>
      <w:r>
        <w:rPr>
          <w:rFonts w:hint="eastAsia" w:eastAsia="方正黑体_GBK"/>
          <w:szCs w:val="32"/>
        </w:rPr>
        <w:t>1</w:t>
      </w:r>
      <w:r>
        <w:rPr>
          <w:rFonts w:eastAsia="方正黑体_GBK"/>
          <w:szCs w:val="32"/>
        </w:rPr>
        <w:t>总则</w:t>
      </w:r>
      <w:bookmarkEnd w:id="2"/>
    </w:p>
    <w:p>
      <w:pPr>
        <w:ind w:firstLine="634" w:firstLineChars="200"/>
        <w:jc w:val="left"/>
        <w:outlineLvl w:val="1"/>
        <w:rPr>
          <w:rFonts w:eastAsia="方正楷体_GBK"/>
          <w:szCs w:val="32"/>
        </w:rPr>
      </w:pPr>
      <w:bookmarkStart w:id="3" w:name="_Toc106638387"/>
      <w:r>
        <w:rPr>
          <w:rFonts w:hint="eastAsia" w:eastAsia="方正楷体_GBK"/>
          <w:szCs w:val="32"/>
        </w:rPr>
        <w:t>1</w:t>
      </w:r>
      <w:r>
        <w:rPr>
          <w:rFonts w:eastAsia="方正楷体_GBK"/>
          <w:szCs w:val="32"/>
        </w:rPr>
        <w:t>.1指导思想</w:t>
      </w:r>
      <w:bookmarkEnd w:id="3"/>
    </w:p>
    <w:p>
      <w:pPr>
        <w:ind w:firstLine="634" w:firstLineChars="200"/>
        <w:rPr>
          <w:rFonts w:hint="eastAsia"/>
          <w:szCs w:val="32"/>
        </w:rPr>
      </w:pPr>
      <w:r>
        <w:rPr>
          <w:rFonts w:hint="eastAsia"/>
          <w:szCs w:val="32"/>
        </w:rPr>
        <w:t>以习近平新时代中国特色社会主义思想为指导，全面贯彻党的二十大精神，深学笃用</w:t>
      </w:r>
      <w:r>
        <w:rPr>
          <w:rFonts w:hint="eastAsia"/>
          <w:color w:val="auto"/>
          <w:szCs w:val="32"/>
        </w:rPr>
        <w:t>习近平生态文明思想</w:t>
      </w:r>
      <w:r>
        <w:rPr>
          <w:rFonts w:hint="eastAsia"/>
          <w:szCs w:val="32"/>
        </w:rPr>
        <w:t>，深入贯彻习近平总书记对重庆提出的营造良好政治生态，坚持“两点”定位、“两地”“两高”目标，发挥“三个作用”和推动成渝地区双城经济圈建设等重要指示要求，</w:t>
      </w:r>
      <w:r>
        <w:rPr>
          <w:rFonts w:hint="eastAsia"/>
          <w:color w:val="auto"/>
          <w:szCs w:val="32"/>
        </w:rPr>
        <w:t>立足新发展阶段，完整、准确、全面贯彻新发展理念，构建新发展格局</w:t>
      </w:r>
      <w:r>
        <w:rPr>
          <w:rFonts w:hint="eastAsia"/>
          <w:szCs w:val="32"/>
        </w:rPr>
        <w:t>，推动高质量发展，全面落实永川区“2</w:t>
      </w:r>
      <w:r>
        <w:rPr>
          <w:szCs w:val="32"/>
        </w:rPr>
        <w:t>235</w:t>
      </w:r>
      <w:r>
        <w:rPr>
          <w:rFonts w:hint="eastAsia"/>
          <w:szCs w:val="32"/>
        </w:rPr>
        <w:t>”发展思路，坚定金龙镇“一二五”</w:t>
      </w:r>
      <w:r>
        <w:rPr>
          <w:szCs w:val="32"/>
        </w:rPr>
        <w:t>发展</w:t>
      </w:r>
      <w:r>
        <w:rPr>
          <w:rFonts w:hint="eastAsia"/>
          <w:szCs w:val="32"/>
        </w:rPr>
        <w:t>目标，坚持生态优先、绿色发展，优化生态空间布局，深入打好污染防治攻坚战，加快推进生态环境治理体系和治理能力现代化，协同推进高质量发展和生态环境高水平保护，将金龙镇打造成为“生态、休闲、和美、幸福”的“重庆市生态文明建设示范镇”，实现产业兴、百姓富、生态美的有机统一。</w:t>
      </w:r>
    </w:p>
    <w:p>
      <w:pPr>
        <w:ind w:firstLine="634" w:firstLineChars="200"/>
        <w:jc w:val="left"/>
        <w:outlineLvl w:val="1"/>
        <w:rPr>
          <w:rFonts w:eastAsia="方正楷体_GBK"/>
          <w:szCs w:val="32"/>
        </w:rPr>
      </w:pPr>
      <w:bookmarkStart w:id="4" w:name="_Toc106638388"/>
      <w:r>
        <w:rPr>
          <w:rFonts w:hint="eastAsia" w:eastAsia="方正楷体_GBK"/>
          <w:szCs w:val="32"/>
        </w:rPr>
        <w:t>1</w:t>
      </w:r>
      <w:r>
        <w:rPr>
          <w:rFonts w:eastAsia="方正楷体_GBK"/>
          <w:szCs w:val="32"/>
        </w:rPr>
        <w:t>.2基本原则</w:t>
      </w:r>
      <w:bookmarkEnd w:id="4"/>
    </w:p>
    <w:p>
      <w:pPr>
        <w:ind w:firstLine="634" w:firstLineChars="200"/>
        <w:rPr>
          <w:rFonts w:hint="eastAsia"/>
          <w:szCs w:val="32"/>
        </w:rPr>
      </w:pPr>
      <w:r>
        <w:rPr>
          <w:rFonts w:hint="eastAsia" w:ascii="方正楷体_GBK" w:hAnsi="方正楷体_GBK" w:eastAsia="方正楷体_GBK" w:cs="方正楷体_GBK"/>
          <w:szCs w:val="32"/>
        </w:rPr>
        <w:t>尊重民意，以民为本</w:t>
      </w:r>
      <w:r>
        <w:rPr>
          <w:rFonts w:hint="eastAsia"/>
          <w:szCs w:val="32"/>
        </w:rPr>
        <w:t>。尊重人民意愿，方便生产生活，与促进农民创业就业和增收相结合。广泛动员群众参与，保障群众决策权、参与权和监督权，既防止政府大包大揽，也不得强行摊派、增加人民负担。自下而上的规划才能保证自上而下</w:t>
      </w:r>
      <w:r>
        <w:rPr>
          <w:rFonts w:hint="eastAsia"/>
          <w:color w:val="auto"/>
          <w:szCs w:val="32"/>
          <w:lang w:eastAsia="zh-CN"/>
        </w:rPr>
        <w:t>地</w:t>
      </w:r>
      <w:r>
        <w:rPr>
          <w:rFonts w:hint="eastAsia"/>
          <w:szCs w:val="32"/>
        </w:rPr>
        <w:t>实施，让生态文明理念深入人心。</w:t>
      </w:r>
    </w:p>
    <w:p>
      <w:pPr>
        <w:ind w:firstLine="634" w:firstLineChars="200"/>
        <w:rPr>
          <w:rFonts w:hint="eastAsia"/>
          <w:szCs w:val="32"/>
        </w:rPr>
      </w:pPr>
      <w:r>
        <w:rPr>
          <w:rFonts w:hint="eastAsia" w:ascii="方正楷体_GBK" w:hAnsi="方正楷体_GBK" w:eastAsia="方正楷体_GBK" w:cs="方正楷体_GBK"/>
          <w:szCs w:val="32"/>
        </w:rPr>
        <w:t>生态优先，和谐发展</w:t>
      </w:r>
      <w:r>
        <w:rPr>
          <w:rFonts w:hint="eastAsia"/>
          <w:szCs w:val="32"/>
        </w:rPr>
        <w:t>。坚持保护、开发和治理相统一，在保护中开发、在开发中保护，强化生态修复，减少人为破坏，维护自然山水地貌，合理节约集约利用资源，提高资源环境承载能力，促进生态平衡。</w:t>
      </w:r>
    </w:p>
    <w:p>
      <w:pPr>
        <w:ind w:firstLine="634" w:firstLineChars="200"/>
        <w:rPr>
          <w:rFonts w:hint="eastAsia"/>
          <w:szCs w:val="32"/>
        </w:rPr>
      </w:pPr>
      <w:r>
        <w:rPr>
          <w:rFonts w:hint="eastAsia" w:ascii="方正楷体_GBK" w:hAnsi="方正楷体_GBK" w:eastAsia="方正楷体_GBK" w:cs="方正楷体_GBK"/>
          <w:szCs w:val="32"/>
        </w:rPr>
        <w:t>政府主导，市场运作</w:t>
      </w:r>
      <w:r>
        <w:rPr>
          <w:rFonts w:hint="eastAsia"/>
          <w:szCs w:val="32"/>
        </w:rPr>
        <w:t>。充分发挥党委、政府在生态文明建设中的引导、组织、协调和推动作用，市场机制在合理配置生态资源、解决生态环境问题的作用。实现规范化引导全社会的生产和生活行为，激发全社会参与生态文明建设的积极性和创造力，形成全民共建生态文明的良好格局。</w:t>
      </w:r>
    </w:p>
    <w:p>
      <w:pPr>
        <w:ind w:firstLine="634" w:firstLineChars="200"/>
        <w:rPr>
          <w:rFonts w:hint="eastAsia"/>
          <w:szCs w:val="32"/>
        </w:rPr>
      </w:pPr>
      <w:r>
        <w:rPr>
          <w:rFonts w:hint="eastAsia" w:ascii="方正楷体_GBK" w:hAnsi="方正楷体_GBK" w:eastAsia="方正楷体_GBK" w:cs="方正楷体_GBK"/>
          <w:szCs w:val="32"/>
        </w:rPr>
        <w:t>坚持依法保护、依法治理</w:t>
      </w:r>
      <w:r>
        <w:rPr>
          <w:rFonts w:hint="eastAsia"/>
          <w:szCs w:val="32"/>
        </w:rPr>
        <w:t>。注重法治的引领、推动和保障作用，增强全体人民特别是领导干部法治意识，加强生态文明执法、司法、守法等方面工作，依法保护和建设生态环境，依法打击污染环境、破坏生态的行为，确保在法治轨道上推进生态文明建设。</w:t>
      </w:r>
    </w:p>
    <w:p>
      <w:pPr>
        <w:ind w:firstLine="634" w:firstLineChars="200"/>
        <w:jc w:val="left"/>
        <w:outlineLvl w:val="1"/>
        <w:rPr>
          <w:rFonts w:eastAsia="方正楷体_GBK"/>
          <w:szCs w:val="32"/>
        </w:rPr>
      </w:pPr>
      <w:bookmarkStart w:id="5" w:name="_Toc106638389"/>
      <w:r>
        <w:rPr>
          <w:rFonts w:hint="eastAsia" w:eastAsia="方正楷体_GBK"/>
          <w:szCs w:val="32"/>
        </w:rPr>
        <w:t>1</w:t>
      </w:r>
      <w:r>
        <w:rPr>
          <w:rFonts w:eastAsia="方正楷体_GBK"/>
          <w:szCs w:val="32"/>
        </w:rPr>
        <w:t>.3编制依据</w:t>
      </w:r>
      <w:bookmarkEnd w:id="5"/>
    </w:p>
    <w:p>
      <w:pPr>
        <w:ind w:firstLine="634" w:firstLineChars="200"/>
        <w:outlineLvl w:val="2"/>
        <w:rPr>
          <w:rFonts w:hint="eastAsia"/>
          <w:szCs w:val="32"/>
        </w:rPr>
      </w:pPr>
      <w:bookmarkStart w:id="6" w:name="_Toc106638390"/>
      <w:r>
        <w:rPr>
          <w:rFonts w:hint="eastAsia"/>
          <w:szCs w:val="32"/>
        </w:rPr>
        <w:t>1.3.1法律法规</w:t>
      </w:r>
      <w:bookmarkEnd w:id="6"/>
    </w:p>
    <w:p>
      <w:pPr>
        <w:ind w:firstLine="634" w:firstLineChars="200"/>
        <w:rPr>
          <w:rFonts w:hint="eastAsia"/>
          <w:szCs w:val="32"/>
        </w:rPr>
      </w:pPr>
      <w:r>
        <w:rPr>
          <w:rFonts w:hint="eastAsia"/>
          <w:szCs w:val="32"/>
        </w:rPr>
        <w:t>1.《中华人民共和国环境保护法》（2015年1月1日实施）</w:t>
      </w:r>
    </w:p>
    <w:p>
      <w:pPr>
        <w:ind w:firstLine="634" w:firstLineChars="200"/>
        <w:rPr>
          <w:rFonts w:hint="eastAsia"/>
          <w:szCs w:val="32"/>
        </w:rPr>
      </w:pPr>
      <w:r>
        <w:rPr>
          <w:rFonts w:hint="eastAsia"/>
          <w:szCs w:val="32"/>
        </w:rPr>
        <w:t>2.《中华人民共和国循环经济促进法》（2018年10月26日修订）</w:t>
      </w:r>
    </w:p>
    <w:p>
      <w:pPr>
        <w:ind w:firstLine="634" w:firstLineChars="200"/>
        <w:rPr>
          <w:rFonts w:hint="eastAsia"/>
          <w:szCs w:val="32"/>
        </w:rPr>
      </w:pPr>
      <w:r>
        <w:rPr>
          <w:rFonts w:hint="eastAsia"/>
          <w:szCs w:val="32"/>
        </w:rPr>
        <w:t>3.《中华人民共和国水污染防治法》（2018年1月1日实施）</w:t>
      </w:r>
    </w:p>
    <w:p>
      <w:pPr>
        <w:ind w:firstLine="634" w:firstLineChars="200"/>
        <w:rPr>
          <w:rFonts w:hint="eastAsia"/>
          <w:szCs w:val="32"/>
        </w:rPr>
      </w:pPr>
      <w:r>
        <w:rPr>
          <w:rFonts w:hint="eastAsia"/>
          <w:szCs w:val="32"/>
        </w:rPr>
        <w:t>4.《中华人民共和国大气污染防治法》（2018年10月26日修订）</w:t>
      </w:r>
    </w:p>
    <w:p>
      <w:pPr>
        <w:ind w:firstLine="634" w:firstLineChars="200"/>
        <w:rPr>
          <w:rFonts w:hint="eastAsia"/>
          <w:szCs w:val="32"/>
        </w:rPr>
      </w:pPr>
      <w:r>
        <w:rPr>
          <w:rFonts w:hint="eastAsia"/>
          <w:szCs w:val="32"/>
        </w:rPr>
        <w:t>5.《中华人民共和国固体废物污染环境防治法》（2020年9月1日施行）</w:t>
      </w:r>
    </w:p>
    <w:p>
      <w:pPr>
        <w:ind w:firstLine="634" w:firstLineChars="200"/>
        <w:rPr>
          <w:szCs w:val="32"/>
        </w:rPr>
      </w:pPr>
      <w:r>
        <w:rPr>
          <w:rFonts w:hint="eastAsia"/>
          <w:szCs w:val="32"/>
        </w:rPr>
        <w:t>6.《中华人民共和国土壤污染防治法》（2019年1月1日施行）</w:t>
      </w:r>
    </w:p>
    <w:p>
      <w:pPr>
        <w:ind w:firstLine="634" w:firstLineChars="200"/>
        <w:rPr>
          <w:szCs w:val="32"/>
        </w:rPr>
      </w:pPr>
      <w:r>
        <w:rPr>
          <w:rFonts w:hint="eastAsia"/>
          <w:szCs w:val="32"/>
        </w:rPr>
        <w:t>7.《中华人民共和国森林法》（201</w:t>
      </w:r>
      <w:r>
        <w:rPr>
          <w:szCs w:val="32"/>
        </w:rPr>
        <w:t>9</w:t>
      </w:r>
      <w:r>
        <w:rPr>
          <w:rFonts w:hint="eastAsia"/>
          <w:szCs w:val="32"/>
        </w:rPr>
        <w:t>年1</w:t>
      </w:r>
      <w:r>
        <w:rPr>
          <w:szCs w:val="32"/>
        </w:rPr>
        <w:t>2</w:t>
      </w:r>
      <w:r>
        <w:rPr>
          <w:rFonts w:hint="eastAsia"/>
          <w:szCs w:val="32"/>
        </w:rPr>
        <w:t>月2</w:t>
      </w:r>
      <w:r>
        <w:rPr>
          <w:szCs w:val="32"/>
        </w:rPr>
        <w:t>8</w:t>
      </w:r>
      <w:r>
        <w:rPr>
          <w:rFonts w:hint="eastAsia"/>
          <w:szCs w:val="32"/>
        </w:rPr>
        <w:t>日修订）</w:t>
      </w:r>
    </w:p>
    <w:p>
      <w:pPr>
        <w:ind w:firstLine="634" w:firstLineChars="200"/>
        <w:rPr>
          <w:rFonts w:hint="eastAsia"/>
          <w:szCs w:val="32"/>
        </w:rPr>
      </w:pPr>
      <w:r>
        <w:rPr>
          <w:szCs w:val="32"/>
        </w:rPr>
        <w:t>8</w:t>
      </w:r>
      <w:r>
        <w:rPr>
          <w:rFonts w:hint="eastAsia"/>
          <w:szCs w:val="32"/>
        </w:rPr>
        <w:t>.《中华人民共和国自然保护区条例》（2017年10月7日修订）</w:t>
      </w:r>
    </w:p>
    <w:p>
      <w:pPr>
        <w:ind w:firstLine="634" w:firstLineChars="200"/>
        <w:rPr>
          <w:rFonts w:hint="eastAsia"/>
          <w:szCs w:val="32"/>
        </w:rPr>
      </w:pPr>
      <w:r>
        <w:rPr>
          <w:szCs w:val="32"/>
        </w:rPr>
        <w:t>9</w:t>
      </w:r>
      <w:r>
        <w:rPr>
          <w:rFonts w:hint="eastAsia"/>
          <w:szCs w:val="32"/>
        </w:rPr>
        <w:t>.《畜禽规模养殖污染防治条例》（2014年1月1日施行）</w:t>
      </w:r>
    </w:p>
    <w:p>
      <w:pPr>
        <w:ind w:firstLine="634" w:firstLineChars="200"/>
        <w:rPr>
          <w:rFonts w:hint="eastAsia"/>
          <w:szCs w:val="32"/>
        </w:rPr>
      </w:pPr>
      <w:r>
        <w:rPr>
          <w:rFonts w:hint="eastAsia"/>
          <w:szCs w:val="32"/>
        </w:rPr>
        <w:t>10.《党政领导干部生态环境损害责任追究办法（试行）》（2015年8月9日施行）</w:t>
      </w:r>
    </w:p>
    <w:p>
      <w:pPr>
        <w:ind w:firstLine="634" w:firstLineChars="200"/>
        <w:rPr>
          <w:rFonts w:hint="eastAsia"/>
          <w:szCs w:val="32"/>
        </w:rPr>
      </w:pPr>
      <w:r>
        <w:rPr>
          <w:rFonts w:hint="eastAsia"/>
          <w:szCs w:val="32"/>
        </w:rPr>
        <w:t>11.《重庆市环境保护条例》（2018年7月26日修正）</w:t>
      </w:r>
    </w:p>
    <w:p>
      <w:pPr>
        <w:ind w:firstLine="634" w:firstLineChars="200"/>
        <w:rPr>
          <w:rFonts w:hint="eastAsia"/>
          <w:szCs w:val="32"/>
        </w:rPr>
      </w:pPr>
      <w:r>
        <w:rPr>
          <w:rFonts w:hint="eastAsia"/>
          <w:szCs w:val="32"/>
        </w:rPr>
        <w:t>12.《重庆市大气污染防治条例》（2021年5月27日修正）</w:t>
      </w:r>
    </w:p>
    <w:p>
      <w:pPr>
        <w:ind w:firstLine="634" w:firstLineChars="200"/>
        <w:rPr>
          <w:szCs w:val="32"/>
        </w:rPr>
      </w:pPr>
      <w:r>
        <w:rPr>
          <w:rFonts w:hint="eastAsia"/>
          <w:szCs w:val="32"/>
        </w:rPr>
        <w:t>13.《重庆市水污染防治条例》（2020年10月1日施行）</w:t>
      </w:r>
    </w:p>
    <w:p>
      <w:pPr>
        <w:ind w:firstLine="634" w:firstLineChars="200"/>
        <w:outlineLvl w:val="2"/>
        <w:rPr>
          <w:rFonts w:hint="eastAsia"/>
          <w:szCs w:val="32"/>
        </w:rPr>
      </w:pPr>
      <w:bookmarkStart w:id="7" w:name="_Toc106638391"/>
      <w:r>
        <w:rPr>
          <w:rFonts w:hint="eastAsia"/>
          <w:szCs w:val="32"/>
        </w:rPr>
        <w:t>1.3.2指导性文件</w:t>
      </w:r>
      <w:bookmarkEnd w:id="7"/>
    </w:p>
    <w:p>
      <w:pPr>
        <w:ind w:firstLine="634" w:firstLineChars="200"/>
        <w:rPr>
          <w:rFonts w:hint="eastAsia"/>
          <w:szCs w:val="32"/>
        </w:rPr>
      </w:pPr>
      <w:r>
        <w:rPr>
          <w:rFonts w:hint="eastAsia"/>
          <w:szCs w:val="32"/>
        </w:rPr>
        <w:t>1.《中共中央 国务院关于加快推进生态文明建设的意见》（中发〔2015〕12号）</w:t>
      </w:r>
    </w:p>
    <w:p>
      <w:pPr>
        <w:ind w:firstLine="634" w:firstLineChars="200"/>
        <w:rPr>
          <w:rFonts w:hint="eastAsia"/>
          <w:szCs w:val="32"/>
        </w:rPr>
      </w:pPr>
      <w:r>
        <w:rPr>
          <w:rFonts w:hint="eastAsia"/>
          <w:szCs w:val="32"/>
        </w:rPr>
        <w:t>2.《中共中央 国务院关于全面加强生态环境保护 坚决打好污染防治攻坚战的意见》（2018年6月16日）</w:t>
      </w:r>
    </w:p>
    <w:p>
      <w:pPr>
        <w:ind w:firstLine="634" w:firstLineChars="200"/>
        <w:rPr>
          <w:rFonts w:hint="eastAsia"/>
          <w:szCs w:val="32"/>
        </w:rPr>
      </w:pPr>
      <w:r>
        <w:rPr>
          <w:rFonts w:hint="eastAsia"/>
          <w:szCs w:val="32"/>
        </w:rPr>
        <w:t>3.《中共中央 国务院印发</w:t>
      </w:r>
      <w:r>
        <w:rPr>
          <w:rFonts w:hint="eastAsia"/>
          <w:szCs w:val="32"/>
          <w:lang w:eastAsia="zh-CN"/>
        </w:rPr>
        <w:t>&lt;</w:t>
      </w:r>
      <w:r>
        <w:rPr>
          <w:rFonts w:hint="eastAsia"/>
          <w:szCs w:val="32"/>
        </w:rPr>
        <w:t>生态文明体制改革总体方案&gt;》（2015年）</w:t>
      </w:r>
    </w:p>
    <w:p>
      <w:pPr>
        <w:ind w:firstLine="634" w:firstLineChars="200"/>
        <w:rPr>
          <w:rFonts w:hint="eastAsia"/>
          <w:szCs w:val="32"/>
        </w:rPr>
      </w:pPr>
      <w:r>
        <w:rPr>
          <w:rFonts w:hint="eastAsia"/>
          <w:szCs w:val="32"/>
        </w:rPr>
        <w:t>4.《中共中央办公厅 国务院办公厅印发&lt;关于全面推行河长制的意见&gt;》（2016年）</w:t>
      </w:r>
    </w:p>
    <w:p>
      <w:pPr>
        <w:ind w:firstLine="634" w:firstLineChars="200"/>
        <w:rPr>
          <w:rFonts w:hint="eastAsia"/>
          <w:szCs w:val="32"/>
        </w:rPr>
      </w:pPr>
      <w:r>
        <w:rPr>
          <w:rFonts w:hint="eastAsia"/>
          <w:szCs w:val="32"/>
        </w:rPr>
        <w:t>5.《中共中央办公厅 国务院办公厅印发&lt;关于全面推行林长制的意见&gt;》（2021年）</w:t>
      </w:r>
    </w:p>
    <w:p>
      <w:pPr>
        <w:ind w:firstLine="634" w:firstLineChars="200"/>
        <w:rPr>
          <w:rFonts w:hint="eastAsia"/>
          <w:szCs w:val="32"/>
        </w:rPr>
      </w:pPr>
      <w:r>
        <w:rPr>
          <w:rFonts w:hint="eastAsia"/>
          <w:szCs w:val="32"/>
        </w:rPr>
        <w:t>6.《中共重庆市委 重庆市人民政府关于加快推进生态文明建设的意见》（渝委〔2014〕19号）</w:t>
      </w:r>
    </w:p>
    <w:p>
      <w:pPr>
        <w:ind w:firstLine="634" w:firstLineChars="200"/>
        <w:rPr>
          <w:rFonts w:hint="eastAsia"/>
          <w:szCs w:val="32"/>
        </w:rPr>
      </w:pPr>
      <w:r>
        <w:rPr>
          <w:rFonts w:hint="eastAsia"/>
          <w:szCs w:val="32"/>
        </w:rPr>
        <w:t>7.《重庆市生态环境局办公室关于印发&lt;重庆市生态文明建设示范区县管理规程及建设指标&gt;等三项制度的通知》（渝环办〔2020〕8号）</w:t>
      </w:r>
    </w:p>
    <w:p>
      <w:pPr>
        <w:ind w:firstLine="634" w:firstLineChars="200"/>
        <w:rPr>
          <w:rFonts w:hint="eastAsia"/>
          <w:szCs w:val="32"/>
        </w:rPr>
      </w:pPr>
      <w:r>
        <w:rPr>
          <w:rFonts w:hint="eastAsia"/>
          <w:szCs w:val="32"/>
        </w:rPr>
        <w:t>8.《重庆市人民政府 关于发布重庆市生态保护红线的通知》（渝府发〔2018〕25号）</w:t>
      </w:r>
    </w:p>
    <w:p>
      <w:pPr>
        <w:ind w:firstLine="634" w:firstLineChars="200"/>
        <w:rPr>
          <w:rFonts w:hint="eastAsia"/>
          <w:szCs w:val="32"/>
        </w:rPr>
      </w:pPr>
      <w:r>
        <w:rPr>
          <w:rFonts w:hint="eastAsia"/>
          <w:szCs w:val="32"/>
        </w:rPr>
        <w:t>9.《重庆市实施乡村振兴战略行动计划》（渝委发〔2018〕1号）</w:t>
      </w:r>
    </w:p>
    <w:p>
      <w:pPr>
        <w:ind w:firstLine="634" w:firstLineChars="200"/>
        <w:rPr>
          <w:rFonts w:hint="eastAsia"/>
          <w:szCs w:val="32"/>
        </w:rPr>
      </w:pPr>
      <w:r>
        <w:rPr>
          <w:rFonts w:hint="eastAsia"/>
          <w:szCs w:val="32"/>
        </w:rPr>
        <w:t>10.《重庆市人民政府 关于印发贯彻落实国务院水污染防治行动计划实施方案的通知》（渝府发〔2015〕69号）</w:t>
      </w:r>
    </w:p>
    <w:p>
      <w:pPr>
        <w:ind w:firstLine="634" w:firstLineChars="200"/>
        <w:rPr>
          <w:szCs w:val="32"/>
        </w:rPr>
      </w:pPr>
      <w:r>
        <w:rPr>
          <w:rFonts w:hint="eastAsia"/>
          <w:szCs w:val="32"/>
        </w:rPr>
        <w:t>11.《重庆市人民政府办公厅 关于印发重庆市湿地保护修复制度实施方案的通知》（渝府办发〔2017〕68号）</w:t>
      </w:r>
    </w:p>
    <w:p>
      <w:pPr>
        <w:ind w:firstLine="634" w:firstLineChars="200"/>
        <w:rPr>
          <w:rFonts w:hint="eastAsia"/>
          <w:szCs w:val="32"/>
        </w:rPr>
      </w:pPr>
      <w:r>
        <w:rPr>
          <w:rFonts w:hint="eastAsia"/>
          <w:szCs w:val="32"/>
        </w:rPr>
        <w:t>1</w:t>
      </w:r>
      <w:r>
        <w:rPr>
          <w:szCs w:val="32"/>
        </w:rPr>
        <w:t>1</w:t>
      </w:r>
      <w:r>
        <w:rPr>
          <w:rFonts w:hint="eastAsia"/>
          <w:szCs w:val="32"/>
        </w:rPr>
        <w:t>.《重庆市永川区人民政府办公室关于印发永川区废弃农膜回收利用管理办法（试行）的通知》（永川府办发〔2019〕79号）</w:t>
      </w:r>
    </w:p>
    <w:p>
      <w:pPr>
        <w:ind w:firstLine="634" w:firstLineChars="200"/>
        <w:rPr>
          <w:rFonts w:hint="eastAsia"/>
          <w:szCs w:val="32"/>
        </w:rPr>
      </w:pPr>
      <w:r>
        <w:rPr>
          <w:rFonts w:hint="eastAsia"/>
          <w:szCs w:val="32"/>
        </w:rPr>
        <w:t>1</w:t>
      </w:r>
      <w:r>
        <w:rPr>
          <w:szCs w:val="32"/>
        </w:rPr>
        <w:t>2</w:t>
      </w:r>
      <w:r>
        <w:rPr>
          <w:rFonts w:hint="eastAsia"/>
          <w:szCs w:val="32"/>
        </w:rPr>
        <w:t>.《重庆市永川区人民政府办公室关于印发永川区万人千吨集中式饮用水水源地环境问题“一源一案”整治方案的通知》（永川府办发〔2019〕145号）</w:t>
      </w:r>
    </w:p>
    <w:p>
      <w:pPr>
        <w:ind w:firstLine="634" w:firstLineChars="200"/>
        <w:rPr>
          <w:rFonts w:hint="eastAsia"/>
          <w:szCs w:val="32"/>
        </w:rPr>
      </w:pPr>
      <w:r>
        <w:rPr>
          <w:rFonts w:hint="eastAsia"/>
          <w:szCs w:val="32"/>
        </w:rPr>
        <w:t>1</w:t>
      </w:r>
      <w:r>
        <w:rPr>
          <w:szCs w:val="32"/>
        </w:rPr>
        <w:t>3</w:t>
      </w:r>
      <w:r>
        <w:rPr>
          <w:rFonts w:hint="eastAsia"/>
          <w:szCs w:val="32"/>
        </w:rPr>
        <w:t>.《重庆市永川区人民政府办公室关于印发永川区城区生活垃圾收运系统提升行动方案的通知》（永川府办发〔2018〕123号）</w:t>
      </w:r>
    </w:p>
    <w:p>
      <w:pPr>
        <w:ind w:firstLine="634" w:firstLineChars="200"/>
        <w:rPr>
          <w:szCs w:val="32"/>
        </w:rPr>
      </w:pPr>
      <w:r>
        <w:rPr>
          <w:rFonts w:hint="eastAsia"/>
          <w:szCs w:val="32"/>
        </w:rPr>
        <w:t>1</w:t>
      </w:r>
      <w:r>
        <w:rPr>
          <w:szCs w:val="32"/>
        </w:rPr>
        <w:t>4</w:t>
      </w:r>
      <w:r>
        <w:rPr>
          <w:rFonts w:hint="eastAsia"/>
          <w:szCs w:val="32"/>
        </w:rPr>
        <w:t>.《重庆市永川区人民政府办公室关于印发永川区生活垃圾分类制度实施方案的通知》（永川府办发〔2018〕107号）</w:t>
      </w:r>
    </w:p>
    <w:p>
      <w:pPr>
        <w:ind w:firstLine="634" w:firstLineChars="200"/>
        <w:rPr>
          <w:rFonts w:hint="eastAsia"/>
          <w:szCs w:val="32"/>
        </w:rPr>
      </w:pPr>
      <w:r>
        <w:rPr>
          <w:rFonts w:hint="eastAsia"/>
          <w:szCs w:val="32"/>
        </w:rPr>
        <w:t>15.《永川区九龙河“一河一策”实施方案》</w:t>
      </w:r>
    </w:p>
    <w:p>
      <w:pPr>
        <w:ind w:firstLine="634" w:firstLineChars="200"/>
        <w:outlineLvl w:val="2"/>
        <w:rPr>
          <w:rFonts w:hint="eastAsia"/>
          <w:szCs w:val="32"/>
        </w:rPr>
      </w:pPr>
      <w:bookmarkStart w:id="8" w:name="_Toc106638392"/>
      <w:r>
        <w:rPr>
          <w:rFonts w:hint="eastAsia"/>
          <w:szCs w:val="32"/>
        </w:rPr>
        <w:t>1.3.</w:t>
      </w:r>
      <w:r>
        <w:rPr>
          <w:szCs w:val="32"/>
        </w:rPr>
        <w:t>3</w:t>
      </w:r>
      <w:r>
        <w:rPr>
          <w:rFonts w:hint="eastAsia"/>
          <w:szCs w:val="32"/>
        </w:rPr>
        <w:t>相关文件</w:t>
      </w:r>
      <w:bookmarkEnd w:id="8"/>
    </w:p>
    <w:p>
      <w:pPr>
        <w:ind w:firstLine="634" w:firstLineChars="200"/>
        <w:rPr>
          <w:rFonts w:hint="eastAsia"/>
          <w:szCs w:val="32"/>
        </w:rPr>
      </w:pPr>
      <w:r>
        <w:rPr>
          <w:rFonts w:hint="eastAsia"/>
          <w:szCs w:val="32"/>
        </w:rPr>
        <w:t>1.《重庆市永川区国民经济和社会发展第十四个五年规划和二〇三五年远景目标纲要》（永川府发〔2021〕9号）</w:t>
      </w:r>
    </w:p>
    <w:p>
      <w:pPr>
        <w:ind w:firstLine="634" w:firstLineChars="200"/>
        <w:rPr>
          <w:szCs w:val="32"/>
        </w:rPr>
      </w:pPr>
      <w:r>
        <w:rPr>
          <w:szCs w:val="32"/>
        </w:rPr>
        <w:t>2</w:t>
      </w:r>
      <w:r>
        <w:rPr>
          <w:rFonts w:hint="eastAsia"/>
          <w:szCs w:val="32"/>
        </w:rPr>
        <w:t>.《永川创建重庆市生态文明建设示范区规划》</w:t>
      </w:r>
    </w:p>
    <w:p>
      <w:pPr>
        <w:ind w:firstLine="634" w:firstLineChars="200"/>
        <w:rPr>
          <w:szCs w:val="32"/>
        </w:rPr>
      </w:pPr>
      <w:r>
        <w:rPr>
          <w:szCs w:val="32"/>
        </w:rPr>
        <w:t>3.</w:t>
      </w:r>
      <w:r>
        <w:rPr>
          <w:rFonts w:hint="eastAsia"/>
          <w:szCs w:val="32"/>
        </w:rPr>
        <w:t>永川区统计年鉴（2015</w:t>
      </w:r>
      <w:r>
        <w:rPr>
          <w:rFonts w:hint="eastAsia"/>
          <w:szCs w:val="32"/>
          <w:lang w:eastAsia="zh-CN"/>
        </w:rPr>
        <w:t>~</w:t>
      </w:r>
      <w:r>
        <w:rPr>
          <w:rFonts w:hint="eastAsia"/>
          <w:szCs w:val="32"/>
        </w:rPr>
        <w:t>202</w:t>
      </w:r>
      <w:r>
        <w:rPr>
          <w:szCs w:val="32"/>
        </w:rPr>
        <w:t>1</w:t>
      </w:r>
      <w:r>
        <w:rPr>
          <w:rFonts w:hint="eastAsia"/>
          <w:szCs w:val="32"/>
        </w:rPr>
        <w:t>年）</w:t>
      </w:r>
    </w:p>
    <w:p>
      <w:pPr>
        <w:ind w:firstLine="634" w:firstLineChars="200"/>
        <w:rPr>
          <w:szCs w:val="32"/>
        </w:rPr>
      </w:pPr>
      <w:r>
        <w:rPr>
          <w:szCs w:val="32"/>
        </w:rPr>
        <w:t>4.</w:t>
      </w:r>
      <w:r>
        <w:rPr>
          <w:rFonts w:hint="eastAsia"/>
          <w:szCs w:val="32"/>
        </w:rPr>
        <w:t>永川区人民政府工作报告（2015~202</w:t>
      </w:r>
      <w:r>
        <w:rPr>
          <w:szCs w:val="32"/>
        </w:rPr>
        <w:t>1</w:t>
      </w:r>
      <w:r>
        <w:rPr>
          <w:rFonts w:hint="eastAsia"/>
          <w:szCs w:val="32"/>
        </w:rPr>
        <w:t>年）</w:t>
      </w:r>
    </w:p>
    <w:p>
      <w:pPr>
        <w:ind w:firstLine="634" w:firstLineChars="200"/>
        <w:rPr>
          <w:szCs w:val="32"/>
        </w:rPr>
      </w:pPr>
      <w:r>
        <w:rPr>
          <w:szCs w:val="32"/>
        </w:rPr>
        <w:t>5.</w:t>
      </w:r>
      <w:r>
        <w:rPr>
          <w:rFonts w:hint="eastAsia"/>
          <w:szCs w:val="32"/>
        </w:rPr>
        <w:t>永川区金龙镇人民政府工作报告（2</w:t>
      </w:r>
      <w:r>
        <w:rPr>
          <w:szCs w:val="32"/>
        </w:rPr>
        <w:t>016~2021</w:t>
      </w:r>
      <w:r>
        <w:rPr>
          <w:rFonts w:hint="eastAsia"/>
          <w:szCs w:val="32"/>
        </w:rPr>
        <w:t>年）</w:t>
      </w:r>
    </w:p>
    <w:p>
      <w:pPr>
        <w:ind w:firstLine="634" w:firstLineChars="200"/>
        <w:rPr>
          <w:szCs w:val="32"/>
        </w:rPr>
      </w:pPr>
      <w:r>
        <w:rPr>
          <w:rFonts w:hint="eastAsia"/>
          <w:szCs w:val="32"/>
        </w:rPr>
        <w:t>6.《永川区金龙镇全域旅游策划方案》</w:t>
      </w:r>
    </w:p>
    <w:p>
      <w:pPr>
        <w:ind w:firstLine="634" w:firstLineChars="200"/>
        <w:rPr>
          <w:szCs w:val="32"/>
        </w:rPr>
      </w:pPr>
      <w:r>
        <w:rPr>
          <w:rFonts w:hint="eastAsia"/>
          <w:szCs w:val="32"/>
        </w:rPr>
        <w:t>7.金龙镇乡村振兴工作总结</w:t>
      </w:r>
    </w:p>
    <w:p>
      <w:pPr>
        <w:ind w:firstLine="634" w:firstLineChars="200"/>
        <w:rPr>
          <w:szCs w:val="32"/>
        </w:rPr>
      </w:pPr>
      <w:r>
        <w:rPr>
          <w:rFonts w:hint="eastAsia"/>
          <w:szCs w:val="32"/>
        </w:rPr>
        <w:t>8.金龙镇河长制工作总结</w:t>
      </w:r>
    </w:p>
    <w:p>
      <w:pPr>
        <w:ind w:firstLine="634" w:firstLineChars="200"/>
        <w:rPr>
          <w:szCs w:val="32"/>
        </w:rPr>
      </w:pPr>
      <w:r>
        <w:rPr>
          <w:szCs w:val="32"/>
        </w:rPr>
        <w:t>9.</w:t>
      </w:r>
      <w:r>
        <w:rPr>
          <w:rFonts w:hint="eastAsia"/>
          <w:szCs w:val="32"/>
        </w:rPr>
        <w:t>永川区金龙镇生态文明建设及环境保护工作自查总结（2</w:t>
      </w:r>
      <w:r>
        <w:rPr>
          <w:szCs w:val="32"/>
        </w:rPr>
        <w:t>018~2020</w:t>
      </w:r>
      <w:r>
        <w:rPr>
          <w:rFonts w:hint="eastAsia"/>
          <w:szCs w:val="32"/>
        </w:rPr>
        <w:t>年）</w:t>
      </w:r>
    </w:p>
    <w:p>
      <w:pPr>
        <w:ind w:firstLine="634" w:firstLineChars="200"/>
        <w:rPr>
          <w:szCs w:val="32"/>
        </w:rPr>
      </w:pPr>
      <w:r>
        <w:rPr>
          <w:rFonts w:hint="eastAsia"/>
          <w:szCs w:val="32"/>
        </w:rPr>
        <w:t>10.《永川区金龙镇开展污水乱排、岸线乱占、河道乱建“三乱”整治专项行动实施方案》</w:t>
      </w:r>
    </w:p>
    <w:p>
      <w:pPr>
        <w:ind w:firstLine="634" w:firstLineChars="200"/>
        <w:rPr>
          <w:szCs w:val="32"/>
        </w:rPr>
      </w:pPr>
      <w:r>
        <w:rPr>
          <w:rFonts w:hint="eastAsia"/>
          <w:szCs w:val="32"/>
        </w:rPr>
        <w:t>11.《金龙镇2020年九龙河流域综合治理攻坚战“一河一策”》</w:t>
      </w:r>
    </w:p>
    <w:p>
      <w:pPr>
        <w:ind w:firstLine="634" w:firstLineChars="200"/>
        <w:rPr>
          <w:szCs w:val="32"/>
        </w:rPr>
      </w:pPr>
      <w:r>
        <w:rPr>
          <w:rFonts w:hint="eastAsia"/>
          <w:szCs w:val="32"/>
        </w:rPr>
        <w:t>12.《农村生活污水处理与资源化利用典型案例（永川区金龙镇金鼎村）》</w:t>
      </w:r>
    </w:p>
    <w:p>
      <w:pPr>
        <w:ind w:firstLine="634" w:firstLineChars="200"/>
        <w:rPr>
          <w:rFonts w:hint="eastAsia"/>
          <w:szCs w:val="32"/>
        </w:rPr>
      </w:pPr>
    </w:p>
    <w:p>
      <w:pPr>
        <w:ind w:firstLine="634" w:firstLineChars="200"/>
        <w:jc w:val="left"/>
        <w:outlineLvl w:val="1"/>
        <w:rPr>
          <w:rFonts w:eastAsia="方正楷体_GBK"/>
          <w:szCs w:val="32"/>
        </w:rPr>
      </w:pPr>
      <w:bookmarkStart w:id="9" w:name="_Toc106638393"/>
      <w:r>
        <w:rPr>
          <w:rFonts w:hint="eastAsia" w:eastAsia="方正楷体_GBK"/>
          <w:szCs w:val="32"/>
        </w:rPr>
        <w:t>1</w:t>
      </w:r>
      <w:r>
        <w:rPr>
          <w:rFonts w:eastAsia="方正楷体_GBK"/>
          <w:szCs w:val="32"/>
        </w:rPr>
        <w:t>.4规划范围</w:t>
      </w:r>
      <w:r>
        <w:rPr>
          <w:rFonts w:hint="eastAsia" w:eastAsia="方正楷体_GBK"/>
          <w:szCs w:val="32"/>
        </w:rPr>
        <w:t>及时限</w:t>
      </w:r>
      <w:bookmarkEnd w:id="9"/>
    </w:p>
    <w:p>
      <w:pPr>
        <w:ind w:firstLine="632"/>
        <w:rPr>
          <w:szCs w:val="32"/>
        </w:rPr>
      </w:pPr>
      <w:r>
        <w:rPr>
          <w:rFonts w:hint="eastAsia" w:ascii="方正楷体_GBK" w:eastAsia="方正楷体_GBK"/>
          <w:szCs w:val="32"/>
        </w:rPr>
        <w:t>规划范围。</w:t>
      </w:r>
      <w:r>
        <w:rPr>
          <w:rFonts w:hint="eastAsia"/>
          <w:szCs w:val="32"/>
        </w:rPr>
        <w:t>本次规划范围为永川区金龙镇全域，</w:t>
      </w:r>
      <w:r>
        <w:rPr>
          <w:rFonts w:hint="eastAsia"/>
          <w:color w:val="auto"/>
          <w:szCs w:val="32"/>
        </w:rPr>
        <w:t>幅员面积</w:t>
      </w:r>
      <w:r>
        <w:rPr>
          <w:rFonts w:hint="eastAsia"/>
          <w:szCs w:val="32"/>
        </w:rPr>
        <w:t>73.5平方公里。包括金龙场社区、金龙村、嘉阜村、灯坪村、解放村、洞子口村、燃灯村、金鼎村，共</w:t>
      </w:r>
      <w:r>
        <w:rPr>
          <w:szCs w:val="32"/>
        </w:rPr>
        <w:t>1</w:t>
      </w:r>
      <w:r>
        <w:rPr>
          <w:rFonts w:hint="eastAsia"/>
          <w:szCs w:val="32"/>
        </w:rPr>
        <w:t>个社区、</w:t>
      </w:r>
      <w:r>
        <w:rPr>
          <w:szCs w:val="32"/>
        </w:rPr>
        <w:t>7</w:t>
      </w:r>
      <w:r>
        <w:rPr>
          <w:rFonts w:hint="eastAsia"/>
          <w:szCs w:val="32"/>
        </w:rPr>
        <w:t>个</w:t>
      </w:r>
      <w:r>
        <w:rPr>
          <w:rFonts w:hint="eastAsia"/>
          <w:color w:val="auto"/>
          <w:szCs w:val="32"/>
        </w:rPr>
        <w:t>行政村</w:t>
      </w:r>
      <w:r>
        <w:rPr>
          <w:rFonts w:hint="eastAsia"/>
          <w:szCs w:val="32"/>
        </w:rPr>
        <w:t>。</w:t>
      </w:r>
    </w:p>
    <w:p>
      <w:pPr>
        <w:ind w:firstLine="634" w:firstLineChars="200"/>
        <w:rPr>
          <w:rFonts w:hint="eastAsia"/>
          <w:szCs w:val="32"/>
        </w:rPr>
      </w:pPr>
      <w:r>
        <w:rPr>
          <w:rFonts w:hint="eastAsia" w:ascii="方正楷体_GBK" w:eastAsia="方正楷体_GBK"/>
          <w:szCs w:val="32"/>
        </w:rPr>
        <w:t>规划基准年：</w:t>
      </w:r>
      <w:r>
        <w:rPr>
          <w:rFonts w:hint="eastAsia"/>
          <w:szCs w:val="32"/>
        </w:rPr>
        <w:t>202</w:t>
      </w:r>
      <w:r>
        <w:rPr>
          <w:szCs w:val="32"/>
        </w:rPr>
        <w:t>1</w:t>
      </w:r>
      <w:r>
        <w:rPr>
          <w:rFonts w:hint="eastAsia"/>
          <w:szCs w:val="32"/>
        </w:rPr>
        <w:t>年。</w:t>
      </w:r>
    </w:p>
    <w:p>
      <w:pPr>
        <w:ind w:firstLine="632"/>
        <w:rPr>
          <w:szCs w:val="32"/>
        </w:rPr>
      </w:pPr>
      <w:r>
        <w:rPr>
          <w:rFonts w:hint="eastAsia" w:ascii="方正楷体_GBK" w:eastAsia="方正楷体_GBK"/>
          <w:szCs w:val="32"/>
        </w:rPr>
        <w:t>规划时限：</w:t>
      </w:r>
      <w:r>
        <w:rPr>
          <w:rFonts w:hint="eastAsia"/>
          <w:szCs w:val="32"/>
        </w:rPr>
        <w:t>规划时段为202</w:t>
      </w:r>
      <w:r>
        <w:rPr>
          <w:szCs w:val="32"/>
        </w:rPr>
        <w:t>2</w:t>
      </w:r>
      <w:r>
        <w:rPr>
          <w:rFonts w:hint="eastAsia"/>
          <w:szCs w:val="32"/>
        </w:rPr>
        <w:t>~202</w:t>
      </w:r>
      <w:r>
        <w:rPr>
          <w:szCs w:val="32"/>
        </w:rPr>
        <w:t>5</w:t>
      </w:r>
      <w:r>
        <w:rPr>
          <w:rFonts w:hint="eastAsia"/>
          <w:szCs w:val="32"/>
        </w:rPr>
        <w:t>年。2023年成功申报命名为重庆市生态文明建设示范镇，2024年~202</w:t>
      </w:r>
      <w:r>
        <w:rPr>
          <w:szCs w:val="32"/>
        </w:rPr>
        <w:t>5</w:t>
      </w:r>
      <w:r>
        <w:rPr>
          <w:rFonts w:hint="eastAsia"/>
          <w:szCs w:val="32"/>
        </w:rPr>
        <w:t>年为巩固提升阶段。</w:t>
      </w:r>
    </w:p>
    <w:p>
      <w:pPr>
        <w:ind w:firstLine="634" w:firstLineChars="200"/>
        <w:rPr>
          <w:rFonts w:hint="eastAsia"/>
          <w:szCs w:val="32"/>
        </w:rPr>
      </w:pPr>
    </w:p>
    <w:p>
      <w:pPr>
        <w:ind w:firstLine="634" w:firstLineChars="200"/>
        <w:jc w:val="left"/>
        <w:outlineLvl w:val="0"/>
        <w:rPr>
          <w:rFonts w:hint="eastAsia" w:eastAsia="方正黑体_GBK"/>
          <w:szCs w:val="32"/>
        </w:rPr>
      </w:pPr>
      <w:bookmarkStart w:id="10" w:name="_Toc106638394"/>
      <w:r>
        <w:rPr>
          <w:rFonts w:hint="eastAsia" w:eastAsia="方正黑体_GBK"/>
          <w:szCs w:val="32"/>
        </w:rPr>
        <w:t>2现状与问题</w:t>
      </w:r>
      <w:bookmarkEnd w:id="10"/>
    </w:p>
    <w:p>
      <w:pPr>
        <w:ind w:firstLine="634" w:firstLineChars="200"/>
        <w:jc w:val="left"/>
        <w:outlineLvl w:val="1"/>
        <w:rPr>
          <w:rFonts w:hint="eastAsia" w:eastAsia="方正楷体_GBK"/>
          <w:szCs w:val="32"/>
        </w:rPr>
      </w:pPr>
      <w:bookmarkStart w:id="11" w:name="_Toc106638395"/>
      <w:r>
        <w:rPr>
          <w:rFonts w:hint="eastAsia" w:eastAsia="方正楷体_GBK"/>
          <w:szCs w:val="32"/>
        </w:rPr>
        <w:t>2</w:t>
      </w:r>
      <w:r>
        <w:rPr>
          <w:rFonts w:eastAsia="方正楷体_GBK"/>
          <w:szCs w:val="32"/>
        </w:rPr>
        <w:t>.1</w:t>
      </w:r>
      <w:r>
        <w:rPr>
          <w:rFonts w:hint="eastAsia" w:eastAsia="方正楷体_GBK"/>
          <w:szCs w:val="32"/>
        </w:rPr>
        <w:t>乡镇概况</w:t>
      </w:r>
      <w:bookmarkEnd w:id="11"/>
    </w:p>
    <w:p>
      <w:pPr>
        <w:ind w:firstLine="634" w:firstLineChars="200"/>
        <w:outlineLvl w:val="2"/>
        <w:rPr>
          <w:rFonts w:hint="eastAsia"/>
          <w:szCs w:val="32"/>
        </w:rPr>
      </w:pPr>
      <w:bookmarkStart w:id="12" w:name="_Toc106638396"/>
      <w:r>
        <w:rPr>
          <w:rFonts w:hint="eastAsia"/>
          <w:szCs w:val="32"/>
        </w:rPr>
        <w:t>2.1</w:t>
      </w:r>
      <w:r>
        <w:rPr>
          <w:szCs w:val="32"/>
        </w:rPr>
        <w:t>.1</w:t>
      </w:r>
      <w:r>
        <w:rPr>
          <w:rFonts w:hint="eastAsia"/>
          <w:szCs w:val="32"/>
        </w:rPr>
        <w:t>自然概况</w:t>
      </w:r>
      <w:bookmarkEnd w:id="12"/>
    </w:p>
    <w:p>
      <w:pPr>
        <w:ind w:firstLine="634" w:firstLineChars="200"/>
        <w:rPr>
          <w:szCs w:val="32"/>
        </w:rPr>
      </w:pPr>
      <w:r>
        <w:rPr>
          <w:rFonts w:hint="eastAsia" w:ascii="方正楷体_GBK" w:eastAsia="方正楷体_GBK"/>
          <w:szCs w:val="32"/>
        </w:rPr>
        <w:t>地理区位。</w:t>
      </w:r>
      <w:r>
        <w:rPr>
          <w:rFonts w:hint="eastAsia"/>
          <w:szCs w:val="32"/>
        </w:rPr>
        <w:t>金龙镇位于永川区东北部，地处茶山竹海旅游区东麓，南与永川大安街道相接，东与璧山正兴镇相邻，北与铜梁安溪镇接壤，距离永川城区</w:t>
      </w:r>
      <w:r>
        <w:rPr>
          <w:szCs w:val="32"/>
        </w:rPr>
        <w:t>31</w:t>
      </w:r>
      <w:r>
        <w:rPr>
          <w:rFonts w:hint="eastAsia"/>
          <w:szCs w:val="32"/>
        </w:rPr>
        <w:t>公里，距成渝高速公路大安接口20公里，区位优势非常明显。</w:t>
      </w:r>
    </w:p>
    <w:p>
      <w:pPr>
        <w:ind w:firstLine="634" w:firstLineChars="200"/>
        <w:rPr>
          <w:szCs w:val="32"/>
        </w:rPr>
      </w:pPr>
      <w:r>
        <w:rPr>
          <w:rFonts w:hint="eastAsia" w:ascii="方正楷体_GBK" w:eastAsia="方正楷体_GBK"/>
          <w:szCs w:val="32"/>
        </w:rPr>
        <w:t>地形地貌。</w:t>
      </w:r>
      <w:r>
        <w:rPr>
          <w:rFonts w:hint="eastAsia"/>
          <w:szCs w:val="32"/>
        </w:rPr>
        <w:t>金龙镇被箕山、燃灯山、云雾山三山环绕，地貌类型多属剥蚀丘陵地貌。全镇地处低山丘陵，最高点位于东北部云雾山花朝门海拔</w:t>
      </w:r>
      <w:r>
        <w:rPr>
          <w:szCs w:val="32"/>
        </w:rPr>
        <w:t>779</w:t>
      </w:r>
      <w:r>
        <w:rPr>
          <w:rFonts w:hint="eastAsia"/>
          <w:szCs w:val="32"/>
        </w:rPr>
        <w:t>.2米，最低点为东南部河坝桥海拔272.7米。</w:t>
      </w:r>
    </w:p>
    <w:p>
      <w:pPr>
        <w:ind w:firstLine="634" w:firstLineChars="200"/>
        <w:rPr>
          <w:rFonts w:hint="eastAsia"/>
          <w:szCs w:val="32"/>
        </w:rPr>
      </w:pPr>
      <w:r>
        <w:rPr>
          <w:rFonts w:hint="eastAsia" w:ascii="方正楷体_GBK" w:eastAsia="方正楷体_GBK"/>
          <w:szCs w:val="32"/>
        </w:rPr>
        <w:t>气候条件。</w:t>
      </w:r>
      <w:r>
        <w:rPr>
          <w:rFonts w:hint="eastAsia"/>
          <w:szCs w:val="32"/>
        </w:rPr>
        <w:t>境内气候宜人，属亚热带季风气候区，温暖湿润，四季分明，雨量充沛。据相关资料，金龙年平均气温</w:t>
      </w:r>
      <w:r>
        <w:rPr>
          <w:szCs w:val="32"/>
        </w:rPr>
        <w:t>18</w:t>
      </w:r>
      <w:r>
        <w:rPr>
          <w:rFonts w:hint="eastAsia" w:ascii="宋体" w:hAnsi="宋体" w:eastAsia="宋体" w:cs="宋体"/>
          <w:szCs w:val="32"/>
        </w:rPr>
        <w:t>℃</w:t>
      </w:r>
      <w:r>
        <w:rPr>
          <w:szCs w:val="32"/>
        </w:rPr>
        <w:t>。</w:t>
      </w:r>
      <w:r>
        <w:rPr>
          <w:rFonts w:hint="eastAsia"/>
          <w:szCs w:val="32"/>
        </w:rPr>
        <w:t>由于地形原因，境内小气候特点突出，为发展生态旅游业创造了良好条件。</w:t>
      </w:r>
    </w:p>
    <w:p>
      <w:pPr>
        <w:ind w:firstLine="634" w:firstLineChars="200"/>
        <w:rPr>
          <w:szCs w:val="32"/>
        </w:rPr>
      </w:pPr>
      <w:r>
        <w:rPr>
          <w:rFonts w:hint="eastAsia" w:ascii="方正楷体_GBK" w:eastAsia="方正楷体_GBK"/>
          <w:szCs w:val="32"/>
        </w:rPr>
        <w:t>水文概况。</w:t>
      </w:r>
      <w:r>
        <w:rPr>
          <w:rFonts w:hint="eastAsia"/>
          <w:szCs w:val="32"/>
        </w:rPr>
        <w:t>境内主干河流为九龙河，境内长32.2公里，由大安街道经九一水库流入金龙镇，然后又从金龙镇冉家湾出境再次流入大安，另有22条支流汇入九龙河，主干支流河长82.5公里。中型水库金鼎寺水库1座，金鼎寺水库横跨金龙镇、茶山竹海街道2个镇街，库容1040万立方米；小（一）型水库人民水库1座，库容256.8万立方米；小（二）型水库有嘉陵、八字塘、胜利、九一、红旗等5座，库容分别为23.3、26.8、36.68、60.96、77.2万立方米；山坪塘614口。</w:t>
      </w:r>
    </w:p>
    <w:p>
      <w:pPr>
        <w:ind w:firstLine="634" w:firstLineChars="200"/>
        <w:rPr>
          <w:rFonts w:hint="eastAsia"/>
          <w:szCs w:val="32"/>
        </w:rPr>
      </w:pPr>
      <w:r>
        <w:rPr>
          <w:rFonts w:hint="eastAsia" w:ascii="方正楷体_GBK" w:eastAsia="方正楷体_GBK"/>
          <w:szCs w:val="32"/>
        </w:rPr>
        <w:t>资源禀赋。</w:t>
      </w:r>
      <w:r>
        <w:rPr>
          <w:rFonts w:hint="eastAsia"/>
          <w:szCs w:val="32"/>
        </w:rPr>
        <w:t>整个区域内矿产资源丰富，已经探明的矿产主要有煤炭、石灰石等，金龙镇天然气储量也较丰富，建设有采气井，主要分布于镇域东部低山区。金龙镇耕地面积</w:t>
      </w:r>
      <w:r>
        <w:rPr>
          <w:szCs w:val="32"/>
        </w:rPr>
        <w:t>4.68</w:t>
      </w:r>
      <w:r>
        <w:rPr>
          <w:rFonts w:hint="eastAsia"/>
          <w:szCs w:val="32"/>
        </w:rPr>
        <w:t>万亩，从耕地分布情况来看，耕地主要分布在中部、东部的缓坡丘陵地带，在高坡度的山区较少；粮食作物主要有稻谷、玉米等，蔬菜种类主要有白菜、萝卜、莴笋、辣椒、绿豆、扁豆、四季豆、茄子、南瓜、丝瓜、冬瓜、苦瓜、藤菜等。林地面积</w:t>
      </w:r>
      <w:r>
        <w:rPr>
          <w:szCs w:val="32"/>
        </w:rPr>
        <w:t>4.7</w:t>
      </w:r>
      <w:r>
        <w:rPr>
          <w:rFonts w:hint="eastAsia"/>
          <w:szCs w:val="32"/>
        </w:rPr>
        <w:t>万亩，主要分布在周边高坡度山区，主要林木资源为松树、杉树、楠竹、柏树，经济林木主要包括柑</w:t>
      </w:r>
      <w:r>
        <w:rPr>
          <w:rFonts w:hint="eastAsia"/>
          <w:color w:val="auto"/>
          <w:szCs w:val="32"/>
          <w:lang w:eastAsia="zh-CN"/>
        </w:rPr>
        <w:t>橘</w:t>
      </w:r>
      <w:r>
        <w:rPr>
          <w:rFonts w:hint="eastAsia"/>
          <w:szCs w:val="32"/>
        </w:rPr>
        <w:t>、油桃、梨子、枇杷等，主产水果为李子、梨子、枇杷、油桃、柑</w:t>
      </w:r>
      <w:r>
        <w:rPr>
          <w:rFonts w:hint="eastAsia"/>
          <w:color w:val="auto"/>
          <w:szCs w:val="32"/>
          <w:lang w:eastAsia="zh-CN"/>
        </w:rPr>
        <w:t>橘</w:t>
      </w:r>
      <w:r>
        <w:rPr>
          <w:rFonts w:hint="eastAsia"/>
          <w:szCs w:val="32"/>
        </w:rPr>
        <w:t>等。此外，金龙镇</w:t>
      </w:r>
      <w:r>
        <w:rPr>
          <w:rFonts w:hint="eastAsia"/>
          <w:szCs w:val="32"/>
          <w:lang w:eastAsia="zh-CN"/>
        </w:rPr>
        <w:t>紧邻</w:t>
      </w:r>
      <w:r>
        <w:rPr>
          <w:rFonts w:hint="eastAsia"/>
          <w:szCs w:val="32"/>
        </w:rPr>
        <w:t>茶山竹海，且境内九龙河蜿蜒流淌，自然生态景观与田园风光交相辉映，具有独特的乡土文化、九龙传说等文化资源，极具农旅融合发展的潜力。</w:t>
      </w:r>
    </w:p>
    <w:p>
      <w:pPr>
        <w:ind w:firstLine="634" w:firstLineChars="200"/>
        <w:outlineLvl w:val="2"/>
        <w:rPr>
          <w:rFonts w:hint="eastAsia"/>
          <w:szCs w:val="32"/>
        </w:rPr>
      </w:pPr>
      <w:bookmarkStart w:id="13" w:name="_Toc106638397"/>
      <w:r>
        <w:rPr>
          <w:rFonts w:hint="eastAsia"/>
          <w:szCs w:val="32"/>
        </w:rPr>
        <w:t>2.</w:t>
      </w:r>
      <w:r>
        <w:rPr>
          <w:szCs w:val="32"/>
        </w:rPr>
        <w:t>1.</w:t>
      </w:r>
      <w:r>
        <w:rPr>
          <w:rFonts w:hint="eastAsia"/>
          <w:szCs w:val="32"/>
        </w:rPr>
        <w:t>2社会经济概况</w:t>
      </w:r>
      <w:bookmarkEnd w:id="13"/>
    </w:p>
    <w:p>
      <w:pPr>
        <w:ind w:firstLine="632"/>
        <w:rPr>
          <w:szCs w:val="32"/>
        </w:rPr>
      </w:pPr>
      <w:r>
        <w:rPr>
          <w:rFonts w:hint="eastAsia" w:ascii="方正楷体_GBK" w:eastAsia="方正楷体_GBK"/>
          <w:szCs w:val="32"/>
        </w:rPr>
        <w:t>历史沿革。</w:t>
      </w:r>
      <w:r>
        <w:rPr>
          <w:rFonts w:hint="eastAsia"/>
          <w:szCs w:val="32"/>
        </w:rPr>
        <w:t>金龙镇起源于清代所建永璧场，后场镇衙门移至九龙桥，更名为九龙场，民国</w:t>
      </w:r>
      <w:r>
        <w:rPr>
          <w:szCs w:val="32"/>
        </w:rPr>
        <w:t>22</w:t>
      </w:r>
      <w:r>
        <w:rPr>
          <w:rFonts w:hint="eastAsia"/>
          <w:szCs w:val="32"/>
        </w:rPr>
        <w:t>年更名为九龙乡，</w:t>
      </w:r>
      <w:r>
        <w:rPr>
          <w:szCs w:val="32"/>
        </w:rPr>
        <w:t>1998</w:t>
      </w:r>
      <w:r>
        <w:rPr>
          <w:rFonts w:hint="eastAsia"/>
          <w:szCs w:val="32"/>
        </w:rPr>
        <w:t>年撤乡建镇更名为金龙镇，截至目前，下辖</w:t>
      </w:r>
      <w:r>
        <w:rPr>
          <w:szCs w:val="32"/>
        </w:rPr>
        <w:t>1</w:t>
      </w:r>
      <w:r>
        <w:rPr>
          <w:rFonts w:hint="eastAsia"/>
          <w:szCs w:val="32"/>
        </w:rPr>
        <w:t>个社区、</w:t>
      </w:r>
      <w:r>
        <w:rPr>
          <w:szCs w:val="32"/>
        </w:rPr>
        <w:t>7</w:t>
      </w:r>
      <w:r>
        <w:rPr>
          <w:rFonts w:hint="eastAsia"/>
          <w:szCs w:val="32"/>
        </w:rPr>
        <w:t>个</w:t>
      </w:r>
      <w:r>
        <w:rPr>
          <w:rFonts w:hint="eastAsia"/>
          <w:color w:val="auto"/>
          <w:szCs w:val="32"/>
        </w:rPr>
        <w:t>行政村</w:t>
      </w:r>
      <w:r>
        <w:rPr>
          <w:rFonts w:hint="eastAsia"/>
          <w:szCs w:val="32"/>
        </w:rPr>
        <w:t>，行政区划面积</w:t>
      </w:r>
      <w:r>
        <w:rPr>
          <w:szCs w:val="32"/>
        </w:rPr>
        <w:t>73.5</w:t>
      </w:r>
      <w:r>
        <w:rPr>
          <w:rFonts w:hint="eastAsia"/>
          <w:szCs w:val="32"/>
        </w:rPr>
        <w:t>平方公里。</w:t>
      </w:r>
    </w:p>
    <w:p>
      <w:pPr>
        <w:ind w:firstLine="634" w:firstLineChars="200"/>
        <w:rPr>
          <w:szCs w:val="32"/>
        </w:rPr>
      </w:pPr>
      <w:r>
        <w:rPr>
          <w:rFonts w:hint="eastAsia" w:ascii="方正楷体_GBK" w:eastAsia="方正楷体_GBK"/>
          <w:szCs w:val="32"/>
        </w:rPr>
        <w:t>人口概况。</w:t>
      </w:r>
      <w:r>
        <w:rPr>
          <w:rFonts w:hint="eastAsia"/>
          <w:szCs w:val="32"/>
        </w:rPr>
        <w:t>2020年，全镇总户数</w:t>
      </w:r>
      <w:r>
        <w:rPr>
          <w:szCs w:val="32"/>
        </w:rPr>
        <w:t>11297</w:t>
      </w:r>
      <w:r>
        <w:rPr>
          <w:rFonts w:hint="eastAsia"/>
          <w:szCs w:val="32"/>
        </w:rPr>
        <w:t>户，总人口3.</w:t>
      </w:r>
      <w:r>
        <w:rPr>
          <w:szCs w:val="32"/>
        </w:rPr>
        <w:t>38</w:t>
      </w:r>
      <w:r>
        <w:rPr>
          <w:rFonts w:hint="eastAsia"/>
          <w:szCs w:val="32"/>
        </w:rPr>
        <w:t>万人，城镇人口1.1</w:t>
      </w:r>
      <w:r>
        <w:rPr>
          <w:szCs w:val="32"/>
        </w:rPr>
        <w:t>4</w:t>
      </w:r>
      <w:r>
        <w:rPr>
          <w:rFonts w:hint="eastAsia"/>
          <w:szCs w:val="32"/>
        </w:rPr>
        <w:t>万人，常住人口约2.1万人。</w:t>
      </w:r>
    </w:p>
    <w:p>
      <w:pPr>
        <w:ind w:firstLine="634" w:firstLineChars="200"/>
        <w:rPr>
          <w:szCs w:val="32"/>
        </w:rPr>
      </w:pPr>
      <w:r>
        <w:rPr>
          <w:rFonts w:hint="eastAsia" w:ascii="方正楷体_GBK" w:eastAsia="方正楷体_GBK"/>
          <w:szCs w:val="32"/>
        </w:rPr>
        <w:t>经济概况。</w:t>
      </w:r>
      <w:r>
        <w:rPr>
          <w:rFonts w:hint="eastAsia"/>
          <w:szCs w:val="32"/>
        </w:rPr>
        <w:t>2020年，金龙镇地区生产总值达</w:t>
      </w:r>
      <w:r>
        <w:rPr>
          <w:szCs w:val="32"/>
        </w:rPr>
        <w:t>8.25</w:t>
      </w:r>
      <w:r>
        <w:rPr>
          <w:rFonts w:hint="eastAsia"/>
          <w:szCs w:val="32"/>
        </w:rPr>
        <w:t>亿元，同比增长</w:t>
      </w:r>
      <w:r>
        <w:rPr>
          <w:szCs w:val="32"/>
        </w:rPr>
        <w:t>3</w:t>
      </w:r>
      <w:r>
        <w:rPr>
          <w:rFonts w:hint="eastAsia"/>
          <w:szCs w:val="32"/>
        </w:rPr>
        <w:t>%，较2016年增长</w:t>
      </w:r>
      <w:r>
        <w:rPr>
          <w:szCs w:val="32"/>
        </w:rPr>
        <w:t>1.75</w:t>
      </w:r>
      <w:r>
        <w:rPr>
          <w:rFonts w:hint="eastAsia"/>
          <w:szCs w:val="32"/>
        </w:rPr>
        <w:t>亿元，镇域经济实力显著提升。第一产业3.85亿元，同比增长4.8%，可见第一产业仍是金龙镇的主导产业；第二产业1.96亿元，同比增长4.</w:t>
      </w:r>
      <w:r>
        <w:rPr>
          <w:szCs w:val="32"/>
        </w:rPr>
        <w:t>2</w:t>
      </w:r>
      <w:r>
        <w:rPr>
          <w:rFonts w:hint="eastAsia"/>
          <w:szCs w:val="32"/>
        </w:rPr>
        <w:t>%；第三产业2.43亿元，同比降低1.3%，受疫情等方面影响，第三产业产值略有下降。三次产业比由2015年的5.0：2.4：2.6优化至</w:t>
      </w:r>
      <w:r>
        <w:rPr>
          <w:szCs w:val="32"/>
        </w:rPr>
        <w:t>4.6</w:t>
      </w:r>
      <w:r>
        <w:rPr>
          <w:rFonts w:hint="eastAsia"/>
          <w:szCs w:val="32"/>
        </w:rPr>
        <w:t>：</w:t>
      </w:r>
      <w:r>
        <w:rPr>
          <w:szCs w:val="32"/>
        </w:rPr>
        <w:t>2.4</w:t>
      </w:r>
      <w:r>
        <w:rPr>
          <w:rFonts w:hint="eastAsia"/>
          <w:szCs w:val="32"/>
        </w:rPr>
        <w:t>：</w:t>
      </w:r>
      <w:r>
        <w:rPr>
          <w:szCs w:val="32"/>
        </w:rPr>
        <w:t>3.0</w:t>
      </w:r>
      <w:r>
        <w:rPr>
          <w:rFonts w:hint="eastAsia"/>
          <w:szCs w:val="32"/>
        </w:rPr>
        <w:t>，产业结构得到逐步优化，为金龙镇经济社会发展奠定了良好基础。农民人均可支配收入由2016年的</w:t>
      </w:r>
      <w:r>
        <w:rPr>
          <w:szCs w:val="32"/>
        </w:rPr>
        <w:t>1.48</w:t>
      </w:r>
      <w:r>
        <w:rPr>
          <w:rFonts w:hint="eastAsia"/>
          <w:szCs w:val="32"/>
        </w:rPr>
        <w:t>万元增长到2020年的2万元，增长35%，城镇人均可支配收入提升到4万元，居民可支配收入与永川全区平均水平持平。</w:t>
      </w:r>
    </w:p>
    <w:p>
      <w:pPr>
        <w:ind w:firstLine="634" w:firstLineChars="200"/>
        <w:rPr>
          <w:szCs w:val="32"/>
        </w:rPr>
      </w:pPr>
      <w:r>
        <w:rPr>
          <w:rFonts w:hint="eastAsia" w:ascii="方正楷体_GBK" w:eastAsia="方正楷体_GBK"/>
          <w:szCs w:val="32"/>
        </w:rPr>
        <w:t>产业概况。</w:t>
      </w:r>
      <w:r>
        <w:rPr>
          <w:rFonts w:hint="eastAsia"/>
          <w:szCs w:val="32"/>
        </w:rPr>
        <w:t>金龙镇具备农业产业发展得天独厚的条件，目前全镇形成绿色蔬菜、特色水果、生态茶叶三大支柱产业。2020年全镇粮食种植面积</w:t>
      </w:r>
      <w:r>
        <w:rPr>
          <w:szCs w:val="32"/>
        </w:rPr>
        <w:t>1</w:t>
      </w:r>
      <w:r>
        <w:rPr>
          <w:rFonts w:hint="eastAsia"/>
          <w:szCs w:val="32"/>
        </w:rPr>
        <w:t>万亩，蔬菜种植面积</w:t>
      </w:r>
      <w:r>
        <w:rPr>
          <w:szCs w:val="32"/>
        </w:rPr>
        <w:t>0.85</w:t>
      </w:r>
      <w:r>
        <w:rPr>
          <w:rFonts w:hint="eastAsia"/>
          <w:szCs w:val="32"/>
        </w:rPr>
        <w:t>万亩，茶叶、水果种植面积0.92万亩。区域内有正大种猪场和配套场等畜禽养殖场，年出栏商品猪8000余头。镇域内的九龙河市级农业生态园区总规模达10000亩，集现代农业、旅游观光、休闲娱乐于一体，有力支撑着金龙镇现代农业快速发展。工业企业以农产品加工为龙头，其余为工贸、建筑类企业。三产以打造农旅融合发展休闲地为目标，已建成银月湖民俗文化村、五花马生态农业园等示范点。</w:t>
      </w:r>
    </w:p>
    <w:p>
      <w:pPr>
        <w:ind w:firstLine="634" w:firstLineChars="200"/>
        <w:rPr>
          <w:rFonts w:hint="eastAsia"/>
          <w:szCs w:val="32"/>
        </w:rPr>
      </w:pPr>
      <w:r>
        <w:rPr>
          <w:rFonts w:hint="eastAsia" w:ascii="方正楷体_GBK" w:eastAsia="方正楷体_GBK"/>
          <w:szCs w:val="32"/>
        </w:rPr>
        <w:t>区域交通。</w:t>
      </w:r>
      <w:r>
        <w:rPr>
          <w:rFonts w:hint="eastAsia"/>
          <w:szCs w:val="32"/>
        </w:rPr>
        <w:t>辖区内主要道路4条，分别是大九路、金铜路2条省级道路，以及隆普路、复兴路2条县级道路，境内主干公路可至铜梁、璧山，距离永川城区31公里，距离永川东站16公里，距离重庆第二机场10公里，全镇形成连接永川</w:t>
      </w:r>
      <w:r>
        <w:rPr>
          <w:rFonts w:hint="eastAsia"/>
          <w:szCs w:val="32"/>
          <w:lang w:eastAsia="zh-CN"/>
        </w:rPr>
        <w:t>-</w:t>
      </w:r>
      <w:r>
        <w:rPr>
          <w:rFonts w:hint="eastAsia"/>
          <w:szCs w:val="32"/>
        </w:rPr>
        <w:t>金龙-铜梁、永川-金龙-璧山“三纵四横”的镇域交通快捷通道，是永川区东北部重要的交通枢纽重镇，随着基础设施不断完善，金龙的“窗口”地位将更加凸显。</w:t>
      </w:r>
    </w:p>
    <w:p>
      <w:pPr>
        <w:ind w:firstLine="634" w:firstLineChars="200"/>
        <w:outlineLvl w:val="2"/>
        <w:rPr>
          <w:rFonts w:hint="eastAsia"/>
          <w:szCs w:val="32"/>
        </w:rPr>
      </w:pPr>
      <w:bookmarkStart w:id="14" w:name="_Toc106638398"/>
      <w:r>
        <w:rPr>
          <w:rFonts w:hint="eastAsia"/>
          <w:szCs w:val="32"/>
        </w:rPr>
        <w:t>2.</w:t>
      </w:r>
      <w:r>
        <w:rPr>
          <w:szCs w:val="32"/>
        </w:rPr>
        <w:t>1.3</w:t>
      </w:r>
      <w:r>
        <w:rPr>
          <w:rFonts w:hint="eastAsia"/>
          <w:szCs w:val="32"/>
        </w:rPr>
        <w:t>生态环境概况</w:t>
      </w:r>
      <w:bookmarkEnd w:id="14"/>
    </w:p>
    <w:p>
      <w:pPr>
        <w:ind w:firstLine="634" w:firstLineChars="200"/>
        <w:rPr>
          <w:rFonts w:hint="eastAsia"/>
          <w:szCs w:val="32"/>
        </w:rPr>
      </w:pPr>
      <w:r>
        <w:rPr>
          <w:rFonts w:hint="eastAsia" w:ascii="方正楷体_GBK" w:eastAsia="方正楷体_GBK"/>
          <w:szCs w:val="32"/>
        </w:rPr>
        <w:t>饮用水水源地。</w:t>
      </w:r>
      <w:r>
        <w:rPr>
          <w:rFonts w:hint="eastAsia"/>
          <w:szCs w:val="32"/>
        </w:rPr>
        <w:t>根据保护区划分文件，2021年金龙镇有金鼎寺水库、红旗水库、九龙河金龙水厂3个集中式饮用水源地，根据永川区集中式饮用水源地水质监测数据，按照《地表水环境质量标准》（GB 3838-2002），集中式水源地水质达到</w:t>
      </w:r>
      <w:r>
        <w:rPr>
          <w:rFonts w:hint="eastAsia"/>
          <w:color w:val="auto"/>
          <w:szCs w:val="32"/>
          <w:lang w:eastAsia="zh-CN"/>
        </w:rPr>
        <w:t>Ⅲ</w:t>
      </w:r>
      <w:r>
        <w:rPr>
          <w:rFonts w:hint="eastAsia"/>
          <w:szCs w:val="32"/>
        </w:rPr>
        <w:t>类水质标准，饮用水水质状况良好。其余分散式水源取水口有人民水库嘉阜水厂、金鼎水厂九龙河取水点，水质均达标。</w:t>
      </w:r>
    </w:p>
    <w:p>
      <w:pPr>
        <w:ind w:firstLine="634" w:firstLineChars="200"/>
        <w:rPr>
          <w:szCs w:val="32"/>
        </w:rPr>
      </w:pPr>
      <w:r>
        <w:rPr>
          <w:rFonts w:hint="eastAsia" w:ascii="方正楷体_GBK" w:eastAsia="方正楷体_GBK"/>
          <w:szCs w:val="32"/>
        </w:rPr>
        <w:t>次级河流。</w:t>
      </w:r>
      <w:r>
        <w:rPr>
          <w:rFonts w:hint="eastAsia"/>
          <w:szCs w:val="32"/>
        </w:rPr>
        <w:t>根据20</w:t>
      </w:r>
      <w:r>
        <w:rPr>
          <w:szCs w:val="32"/>
        </w:rPr>
        <w:t>20</w:t>
      </w:r>
      <w:r>
        <w:rPr>
          <w:rFonts w:hint="eastAsia"/>
          <w:szCs w:val="32"/>
        </w:rPr>
        <w:t>年永川区河长制水质监测数据，按照《地表水环境质量标准》（GB3838-2002）对各监测断面进行分析评价，次级河流水质状况总体较好，境内主要河流九龙河及各水库水质满足水域功能要求，且达到</w:t>
      </w:r>
      <w:r>
        <w:rPr>
          <w:rFonts w:hint="eastAsia"/>
          <w:color w:val="auto"/>
          <w:szCs w:val="32"/>
          <w:lang w:eastAsia="zh-CN"/>
        </w:rPr>
        <w:t>Ⅲ</w:t>
      </w:r>
      <w:r>
        <w:rPr>
          <w:rFonts w:hint="eastAsia"/>
          <w:szCs w:val="32"/>
        </w:rPr>
        <w:t>类水质标准。</w:t>
      </w:r>
    </w:p>
    <w:p>
      <w:pPr>
        <w:ind w:firstLine="634" w:firstLineChars="200"/>
        <w:rPr>
          <w:szCs w:val="32"/>
        </w:rPr>
      </w:pPr>
      <w:r>
        <w:rPr>
          <w:rFonts w:hint="eastAsia" w:ascii="方正楷体_GBK" w:eastAsia="方正楷体_GBK"/>
          <w:szCs w:val="32"/>
        </w:rPr>
        <w:t>大气环境质量状况。</w:t>
      </w:r>
      <w:r>
        <w:rPr>
          <w:rFonts w:hint="eastAsia"/>
          <w:szCs w:val="32"/>
        </w:rPr>
        <w:t>全域属于二类</w:t>
      </w:r>
      <w:r>
        <w:rPr>
          <w:rFonts w:hint="eastAsia"/>
        </w:rPr>
        <w:t>环境空气质量功能区</w:t>
      </w:r>
      <w:r>
        <w:rPr>
          <w:rFonts w:hint="eastAsia"/>
          <w:szCs w:val="32"/>
        </w:rPr>
        <w:t>，辖区范围内无产生大量废气的工业企业，环境空气质量相当或优于永川区监测点位环境空气质量，环境空气质量保持优良。</w:t>
      </w:r>
    </w:p>
    <w:p>
      <w:pPr>
        <w:ind w:firstLine="634" w:firstLineChars="200"/>
        <w:jc w:val="left"/>
        <w:outlineLvl w:val="1"/>
        <w:rPr>
          <w:rFonts w:eastAsia="方正楷体_GBK"/>
          <w:szCs w:val="32"/>
        </w:rPr>
      </w:pPr>
      <w:bookmarkStart w:id="15" w:name="_Toc106638399"/>
      <w:r>
        <w:rPr>
          <w:rFonts w:hint="eastAsia" w:eastAsia="方正楷体_GBK"/>
          <w:szCs w:val="32"/>
        </w:rPr>
        <w:t>2</w:t>
      </w:r>
      <w:r>
        <w:rPr>
          <w:rFonts w:eastAsia="方正楷体_GBK"/>
          <w:szCs w:val="32"/>
        </w:rPr>
        <w:t>.2</w:t>
      </w:r>
      <w:r>
        <w:rPr>
          <w:rFonts w:hint="eastAsia" w:eastAsia="方正楷体_GBK"/>
          <w:szCs w:val="32"/>
        </w:rPr>
        <w:t>创建基础</w:t>
      </w:r>
      <w:bookmarkEnd w:id="15"/>
    </w:p>
    <w:p>
      <w:pPr>
        <w:ind w:firstLine="634" w:firstLineChars="200"/>
        <w:outlineLvl w:val="2"/>
        <w:rPr>
          <w:rFonts w:hint="eastAsia"/>
          <w:szCs w:val="32"/>
        </w:rPr>
      </w:pPr>
      <w:bookmarkStart w:id="16" w:name="_Toc106638400"/>
      <w:r>
        <w:rPr>
          <w:rFonts w:hint="eastAsia"/>
          <w:szCs w:val="32"/>
        </w:rPr>
        <w:t>2.2</w:t>
      </w:r>
      <w:r>
        <w:rPr>
          <w:szCs w:val="32"/>
        </w:rPr>
        <w:t>.1</w:t>
      </w:r>
      <w:r>
        <w:rPr>
          <w:rFonts w:hint="eastAsia"/>
          <w:szCs w:val="32"/>
        </w:rPr>
        <w:t>镇党委、镇政府坚决贯彻落实</w:t>
      </w:r>
      <w:r>
        <w:rPr>
          <w:rFonts w:hint="eastAsia"/>
          <w:color w:val="auto"/>
          <w:szCs w:val="32"/>
          <w:lang w:eastAsia="zh-CN"/>
        </w:rPr>
        <w:t>习近平</w:t>
      </w:r>
      <w:r>
        <w:rPr>
          <w:rFonts w:hint="eastAsia"/>
          <w:color w:val="auto"/>
          <w:szCs w:val="32"/>
        </w:rPr>
        <w:t>生态文明思想</w:t>
      </w:r>
      <w:bookmarkEnd w:id="16"/>
    </w:p>
    <w:p>
      <w:pPr>
        <w:ind w:firstLine="634" w:firstLineChars="200"/>
        <w:rPr>
          <w:rFonts w:hint="eastAsia"/>
          <w:szCs w:val="32"/>
        </w:rPr>
      </w:pPr>
      <w:r>
        <w:rPr>
          <w:rFonts w:hint="eastAsia"/>
          <w:szCs w:val="32"/>
        </w:rPr>
        <w:t>面对错综复杂的外部形势，艰巨的改革任务，以及</w:t>
      </w:r>
      <w:r>
        <w:rPr>
          <w:rFonts w:hint="eastAsia"/>
          <w:color w:val="auto"/>
          <w:szCs w:val="32"/>
          <w:lang w:eastAsia="zh-CN"/>
        </w:rPr>
        <w:t>新冠疫情</w:t>
      </w:r>
      <w:r>
        <w:rPr>
          <w:rFonts w:hint="eastAsia"/>
          <w:szCs w:val="32"/>
        </w:rPr>
        <w:t>冲击，金龙镇始终坚持以习近平新时代中国特色社会主义思想为指导，高质量、高标准完成永川区委、区政府下达的生态环境保护任务，“十三五”时期镇域生态文明建设成果显著，同时在“十四五”期间确立“生态、休闲、和美、幸福”为金龙镇发展的总体目标，将生态文明建设工作摆在了中心位置。党政主要负责人定期、不定期</w:t>
      </w:r>
      <w:r>
        <w:rPr>
          <w:rFonts w:hint="eastAsia"/>
          <w:szCs w:val="32"/>
          <w:lang w:eastAsia="zh-CN"/>
        </w:rPr>
        <w:t>地</w:t>
      </w:r>
      <w:r>
        <w:rPr>
          <w:rFonts w:hint="eastAsia"/>
          <w:szCs w:val="32"/>
        </w:rPr>
        <w:t>研究生态环境保护工作，每年年初召开全镇年度生态环境保护工作会议，2020年党委会、党政工作联席会、专题会等共计研究生态环境保护相关工作28次。出台制定《金龙镇生态环境保护责任追究办法》，构建目标明确、责任清晰、分工具体的责任体系，坚持实行目标管理，狠抓落实，分别与有关负责人签订目标责任书，实行一级抓一级，级级负责制。通过加强领导，明确职责，严格考核，促进了生态环境保护工作的有序开展。</w:t>
      </w:r>
    </w:p>
    <w:p>
      <w:pPr>
        <w:ind w:firstLine="634" w:firstLineChars="200"/>
        <w:outlineLvl w:val="2"/>
        <w:rPr>
          <w:rFonts w:hint="eastAsia"/>
          <w:szCs w:val="32"/>
        </w:rPr>
      </w:pPr>
      <w:bookmarkStart w:id="17" w:name="_Toc106638401"/>
      <w:r>
        <w:rPr>
          <w:rFonts w:hint="eastAsia"/>
          <w:szCs w:val="32"/>
        </w:rPr>
        <w:t>2</w:t>
      </w:r>
      <w:r>
        <w:rPr>
          <w:szCs w:val="32"/>
        </w:rPr>
        <w:t>.2.2</w:t>
      </w:r>
      <w:r>
        <w:rPr>
          <w:rFonts w:hint="eastAsia"/>
          <w:szCs w:val="32"/>
        </w:rPr>
        <w:t>农旅融合发展的生态经济模式带动脱贫致富</w:t>
      </w:r>
      <w:bookmarkEnd w:id="17"/>
    </w:p>
    <w:p>
      <w:pPr>
        <w:ind w:firstLine="634" w:firstLineChars="200"/>
        <w:rPr>
          <w:szCs w:val="32"/>
        </w:rPr>
      </w:pPr>
      <w:r>
        <w:rPr>
          <w:rFonts w:hint="eastAsia"/>
          <w:szCs w:val="32"/>
        </w:rPr>
        <w:t>金龙镇立足镇域特色，依托九龙河农业生态园区不断推动传统农业产业绿色转型，初步形成绿色蔬菜、特色水果、生态茶叶三大支柱产业，乡村旅游逐年稳定增长。抢抓九龙河市级现代农业生态园区发展机遇，着力引进了黄坡岭生态农业、五花马农业等31家优质农业企业，有力带动了全镇生态农业发展，全镇绿色蔬菜8500亩、特色水果6000亩、生态茶叶</w:t>
      </w:r>
      <w:r>
        <w:rPr>
          <w:szCs w:val="32"/>
        </w:rPr>
        <w:t>20</w:t>
      </w:r>
      <w:r>
        <w:rPr>
          <w:rFonts w:hint="eastAsia"/>
          <w:szCs w:val="32"/>
        </w:rPr>
        <w:t>00亩，取得苕尖、空心菜、枇杷、脆李、蜜</w:t>
      </w:r>
      <w:r>
        <w:rPr>
          <w:rFonts w:hint="eastAsia"/>
          <w:color w:val="auto"/>
          <w:szCs w:val="32"/>
          <w:lang w:eastAsia="zh-CN"/>
        </w:rPr>
        <w:t>橘</w:t>
      </w:r>
      <w:r>
        <w:rPr>
          <w:rFonts w:hint="eastAsia"/>
          <w:szCs w:val="32"/>
        </w:rPr>
        <w:t>、茶叶等绿色食品认证</w:t>
      </w:r>
      <w:r>
        <w:rPr>
          <w:szCs w:val="32"/>
        </w:rPr>
        <w:t>11</w:t>
      </w:r>
      <w:r>
        <w:rPr>
          <w:rFonts w:hint="eastAsia"/>
          <w:szCs w:val="32"/>
        </w:rPr>
        <w:t>个，为金龙镇特色生态农业发展奠定了良好的基础。全面推进宜机化整治不断夯实金龙镇农旅发展潜力，通过将荒坡改造为产业基地，如金鼎村500亩沃柑、解放村400亩优质葡萄、彭家寨村</w:t>
      </w:r>
      <w:r>
        <w:rPr>
          <w:szCs w:val="32"/>
        </w:rPr>
        <w:t>4</w:t>
      </w:r>
      <w:r>
        <w:rPr>
          <w:rFonts w:hint="eastAsia"/>
          <w:szCs w:val="32"/>
        </w:rPr>
        <w:t>00亩蔬菜基地等，为当地村民带来就业岗位和直接的经济效益。根据区域沿山、沿河、农耕文化特色，打造赏花、采果、品茶、农耕体验等特色乡村旅游，目前已打造银月湖民俗文化旅游、五花马农业产业带动等产业融合示范。全力打赢脱贫攻坚战，依托农业园区、蔬果、茶叶基地等解决部分贫困户就业，建设洞子口村扶贫产业园、金鼎村扶贫产业园等扶贫产业园推动当地就业扶贫；建立贫困户利益联结机制，全镇228户贫困户自愿入股镇域相关合作社等经营主体，让农民更多分享全镇产业增值收益；依托农业园区等销售渠道全力助贫销售，实现每年扶贫产品销售额300余万元。探索洞子口村农村宅基地改革试点，取得初步成效。</w:t>
      </w:r>
    </w:p>
    <w:p>
      <w:pPr>
        <w:jc w:val="center"/>
        <w:rPr>
          <w:szCs w:val="32"/>
        </w:rPr>
      </w:pPr>
      <w:r>
        <w:drawing>
          <wp:inline distT="0" distB="0" distL="114300" distR="114300">
            <wp:extent cx="2734310" cy="1666240"/>
            <wp:effectExtent l="0" t="0" r="8890" b="10160"/>
            <wp:docPr id="1" name="图片 1" descr="87ea153a225ca5db5dd91096bf5f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ea153a225ca5db5dd91096bf5fad8"/>
                    <pic:cNvPicPr>
                      <a:picLocks noChangeAspect="1"/>
                    </pic:cNvPicPr>
                  </pic:nvPicPr>
                  <pic:blipFill>
                    <a:blip r:embed="rId11"/>
                    <a:srcRect l="2342" r="5145"/>
                    <a:stretch>
                      <a:fillRect/>
                    </a:stretch>
                  </pic:blipFill>
                  <pic:spPr>
                    <a:xfrm>
                      <a:off x="0" y="0"/>
                      <a:ext cx="2734310" cy="1666240"/>
                    </a:xfrm>
                    <a:prstGeom prst="rect">
                      <a:avLst/>
                    </a:prstGeom>
                    <a:noFill/>
                    <a:ln>
                      <a:noFill/>
                    </a:ln>
                  </pic:spPr>
                </pic:pic>
              </a:graphicData>
            </a:graphic>
          </wp:inline>
        </w:drawing>
      </w:r>
      <w:r>
        <w:drawing>
          <wp:inline distT="0" distB="0" distL="114300" distR="114300">
            <wp:extent cx="2666365" cy="1697990"/>
            <wp:effectExtent l="0" t="0" r="635" b="16510"/>
            <wp:docPr id="2" name="图片 2" descr="W02022021151970284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020220211519702841807"/>
                    <pic:cNvPicPr>
                      <a:picLocks noChangeAspect="1"/>
                    </pic:cNvPicPr>
                  </pic:nvPicPr>
                  <pic:blipFill>
                    <a:blip r:embed="rId12"/>
                    <a:stretch>
                      <a:fillRect/>
                    </a:stretch>
                  </pic:blipFill>
                  <pic:spPr>
                    <a:xfrm>
                      <a:off x="0" y="0"/>
                      <a:ext cx="2666365" cy="1697990"/>
                    </a:xfrm>
                    <a:prstGeom prst="rect">
                      <a:avLst/>
                    </a:prstGeom>
                    <a:noFill/>
                    <a:ln>
                      <a:noFill/>
                    </a:ln>
                  </pic:spPr>
                </pic:pic>
              </a:graphicData>
            </a:graphic>
          </wp:inline>
        </w:drawing>
      </w:r>
    </w:p>
    <w:p>
      <w:pPr>
        <w:jc w:val="center"/>
        <w:rPr>
          <w:rFonts w:hint="eastAsia" w:ascii="方正黑体_GBK" w:eastAsia="方正黑体_GBK"/>
          <w:sz w:val="28"/>
          <w:szCs w:val="28"/>
        </w:rPr>
      </w:pPr>
      <w:r>
        <w:rPr>
          <w:rFonts w:hint="eastAsia" w:ascii="方正黑体_GBK" w:eastAsia="方正黑体_GBK"/>
          <w:sz w:val="28"/>
          <w:szCs w:val="28"/>
        </w:rPr>
        <w:t>图2-1 金龙镇绿色蔬菜基地、荒坡改造后的扶贫就业园</w:t>
      </w:r>
    </w:p>
    <w:p>
      <w:pPr>
        <w:ind w:firstLine="634" w:firstLineChars="200"/>
        <w:outlineLvl w:val="2"/>
        <w:rPr>
          <w:rFonts w:hint="eastAsia"/>
          <w:szCs w:val="32"/>
        </w:rPr>
      </w:pPr>
      <w:bookmarkStart w:id="18" w:name="_Toc106638402"/>
      <w:r>
        <w:rPr>
          <w:rFonts w:hint="eastAsia"/>
          <w:szCs w:val="32"/>
        </w:rPr>
        <w:t>2</w:t>
      </w:r>
      <w:r>
        <w:rPr>
          <w:szCs w:val="32"/>
        </w:rPr>
        <w:t>.2.3</w:t>
      </w:r>
      <w:r>
        <w:rPr>
          <w:rFonts w:hint="eastAsia"/>
          <w:szCs w:val="32"/>
        </w:rPr>
        <w:t>生态环境质量的稳步提升保障区域生态安全</w:t>
      </w:r>
      <w:bookmarkEnd w:id="18"/>
    </w:p>
    <w:p>
      <w:pPr>
        <w:ind w:firstLine="634" w:firstLineChars="200"/>
        <w:rPr>
          <w:szCs w:val="32"/>
        </w:rPr>
      </w:pPr>
      <w:r>
        <w:rPr>
          <w:rFonts w:hint="eastAsia"/>
          <w:szCs w:val="32"/>
        </w:rPr>
        <w:t>金龙镇坚持生态优先、绿色发展理念，深入实施</w:t>
      </w:r>
      <w:r>
        <w:rPr>
          <w:rFonts w:hint="eastAsia"/>
          <w:color w:val="auto"/>
          <w:szCs w:val="32"/>
        </w:rPr>
        <w:t>环保督查</w:t>
      </w:r>
      <w:r>
        <w:rPr>
          <w:rFonts w:hint="eastAsia"/>
          <w:szCs w:val="32"/>
        </w:rPr>
        <w:t>问题整改、污染防治攻坚战，全域生态环境质量得到较大改善，永川东北部生态屏障稳固，区域生态安全得到保障。一是打好打赢污染防治攻坚战，实现金鼎场镇、普莲场镇、金龙场镇3个场镇的生活污水99%接入污水管网，提标改造金龙污水处理厂，处理能力由500吨/天提升至900吨/天，污水处置系统持续完善；完成金龙场镇段3.3公里河道整治；全面落实“河长制”，印发实施《九龙河流域金龙镇段水质监测和考核实施办法》，实施常态化</w:t>
      </w:r>
      <w:r>
        <w:rPr>
          <w:rFonts w:hint="eastAsia"/>
          <w:color w:val="auto"/>
          <w:szCs w:val="32"/>
        </w:rPr>
        <w:t>巡查</w:t>
      </w:r>
      <w:r>
        <w:rPr>
          <w:rFonts w:hint="eastAsia"/>
          <w:szCs w:val="32"/>
        </w:rPr>
        <w:t>和问题整改，生态修复油坊沟等黑臭沟渠7条，治理双堰水库等黑臭塘堰42个，累计关停非法畜禽水产养殖场2</w:t>
      </w:r>
      <w:r>
        <w:rPr>
          <w:szCs w:val="32"/>
        </w:rPr>
        <w:t>1</w:t>
      </w:r>
      <w:r>
        <w:rPr>
          <w:rFonts w:hint="eastAsia"/>
          <w:szCs w:val="32"/>
        </w:rPr>
        <w:t>户；九龙河流域综合治理取得明显成效，各监测断面连续多年保持</w:t>
      </w:r>
      <w:r>
        <w:rPr>
          <w:rFonts w:hint="eastAsia"/>
          <w:color w:val="auto"/>
          <w:szCs w:val="32"/>
          <w:lang w:eastAsia="zh-CN"/>
        </w:rPr>
        <w:t>Ⅲ</w:t>
      </w:r>
      <w:r>
        <w:rPr>
          <w:rFonts w:hint="eastAsia"/>
          <w:szCs w:val="32"/>
        </w:rPr>
        <w:t>类水质。加强大气污染防治，严格管控餐饮油烟乱排、露天熏制腊肉、露天焚烧秸秆等现象。加强土壤污染防治，实施化肥、农药减量增效行动，治理空心菜种植基地面源污染。二是持续建设巩固永川东北部生态屏障，坚持“山水林田湖草”系统化治理，实施国土空间绿化2.2万亩，做好森林防火、病虫害防治工作，巩固4.7万亩森林安全，森林覆盖率达到</w:t>
      </w:r>
      <w:r>
        <w:rPr>
          <w:szCs w:val="32"/>
        </w:rPr>
        <w:t>43%</w:t>
      </w:r>
      <w:r>
        <w:rPr>
          <w:rFonts w:hint="eastAsia"/>
          <w:szCs w:val="32"/>
        </w:rPr>
        <w:t>；实施以河湖连通、河道整治工程为主的河库水系连通工程3.6公里，改善、修复区域水生态环境；严守生态保护红线，严厉打击生态保护红线内的违法行为。三是确保区域生态安全，对工贸、危化及烟花爆竹等行业开展安全生产监管执法，修订完善应急预案，不断提升应急处置能力，辖区连续五年未发生安全死亡事故。</w:t>
      </w:r>
    </w:p>
    <w:p>
      <w:pPr>
        <w:jc w:val="center"/>
        <w:rPr>
          <w:szCs w:val="32"/>
        </w:rPr>
      </w:pPr>
      <w:r>
        <w:rPr>
          <w:szCs w:val="32"/>
        </w:rPr>
        <w:drawing>
          <wp:inline distT="0" distB="0" distL="114300" distR="114300">
            <wp:extent cx="2482215" cy="1871345"/>
            <wp:effectExtent l="0" t="0" r="13335" b="14605"/>
            <wp:docPr id="3" name="图片 3" descr="946ddf06988160371dee07ffda3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46ddf06988160371dee07ffda3e003"/>
                    <pic:cNvPicPr>
                      <a:picLocks noChangeAspect="1"/>
                    </pic:cNvPicPr>
                  </pic:nvPicPr>
                  <pic:blipFill>
                    <a:blip r:embed="rId13"/>
                    <a:stretch>
                      <a:fillRect/>
                    </a:stretch>
                  </pic:blipFill>
                  <pic:spPr>
                    <a:xfrm>
                      <a:off x="0" y="0"/>
                      <a:ext cx="2482215" cy="187134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szCs w:val="32"/>
        </w:rPr>
        <w:drawing>
          <wp:inline distT="0" distB="0" distL="114300" distR="114300">
            <wp:extent cx="2823845" cy="1877695"/>
            <wp:effectExtent l="0" t="0" r="14605" b="8255"/>
            <wp:docPr id="4" name="图片 4" descr="cd73e81da2fcbabf0b03368b91b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73e81da2fcbabf0b03368b91b2093"/>
                    <pic:cNvPicPr>
                      <a:picLocks noChangeAspect="1"/>
                    </pic:cNvPicPr>
                  </pic:nvPicPr>
                  <pic:blipFill>
                    <a:blip r:embed="rId14"/>
                    <a:stretch>
                      <a:fillRect/>
                    </a:stretch>
                  </pic:blipFill>
                  <pic:spPr>
                    <a:xfrm>
                      <a:off x="0" y="0"/>
                      <a:ext cx="2823845" cy="1877695"/>
                    </a:xfrm>
                    <a:prstGeom prst="rect">
                      <a:avLst/>
                    </a:prstGeom>
                    <a:noFill/>
                    <a:ln>
                      <a:noFill/>
                    </a:ln>
                  </pic:spPr>
                </pic:pic>
              </a:graphicData>
            </a:graphic>
          </wp:inline>
        </w:drawing>
      </w:r>
    </w:p>
    <w:p>
      <w:pPr>
        <w:jc w:val="center"/>
        <w:rPr>
          <w:rFonts w:hint="eastAsia" w:ascii="方正黑体_GBK" w:eastAsia="方正黑体_GBK"/>
          <w:sz w:val="28"/>
          <w:szCs w:val="28"/>
        </w:rPr>
      </w:pPr>
      <w:r>
        <w:rPr>
          <w:rFonts w:hint="eastAsia" w:ascii="方正黑体_GBK" w:eastAsia="方正黑体_GBK"/>
          <w:sz w:val="28"/>
          <w:szCs w:val="28"/>
        </w:rPr>
        <w:t>图2-</w:t>
      </w:r>
      <w:r>
        <w:rPr>
          <w:rFonts w:ascii="方正黑体_GBK" w:eastAsia="方正黑体_GBK"/>
          <w:sz w:val="28"/>
          <w:szCs w:val="28"/>
        </w:rPr>
        <w:t>2</w:t>
      </w:r>
      <w:r>
        <w:rPr>
          <w:rFonts w:hint="eastAsia" w:ascii="方正黑体_GBK" w:eastAsia="方正黑体_GBK"/>
          <w:sz w:val="28"/>
          <w:szCs w:val="28"/>
        </w:rPr>
        <w:t xml:space="preserve"> 金龙镇九龙河治理成效</w:t>
      </w:r>
    </w:p>
    <w:p>
      <w:pPr>
        <w:ind w:firstLine="634" w:firstLineChars="200"/>
        <w:outlineLvl w:val="2"/>
        <w:rPr>
          <w:rFonts w:hint="eastAsia"/>
          <w:szCs w:val="32"/>
        </w:rPr>
      </w:pPr>
      <w:bookmarkStart w:id="19" w:name="_Toc106638403"/>
      <w:r>
        <w:rPr>
          <w:rFonts w:hint="eastAsia"/>
          <w:szCs w:val="32"/>
        </w:rPr>
        <w:t>2.2.</w:t>
      </w:r>
      <w:r>
        <w:rPr>
          <w:szCs w:val="32"/>
        </w:rPr>
        <w:t>4</w:t>
      </w:r>
      <w:r>
        <w:rPr>
          <w:rFonts w:hint="eastAsia"/>
          <w:szCs w:val="32"/>
        </w:rPr>
        <w:t>基础设施的不断完善助推人居环境质量改善</w:t>
      </w:r>
      <w:bookmarkEnd w:id="19"/>
    </w:p>
    <w:p>
      <w:pPr>
        <w:ind w:firstLine="634" w:firstLineChars="200"/>
        <w:rPr>
          <w:szCs w:val="32"/>
        </w:rPr>
      </w:pPr>
      <w:r>
        <w:rPr>
          <w:rFonts w:hint="eastAsia"/>
          <w:szCs w:val="32"/>
        </w:rPr>
        <w:t>近几年，金龙镇大力开展基础设施建设，镇村面貌焕然一新，人居环境的改善提升了居民获得感、幸福感。一是集镇建设提档升级，合理编制场镇规划，3个场镇建成区面积达到</w:t>
      </w:r>
      <w:r>
        <w:rPr>
          <w:szCs w:val="32"/>
        </w:rPr>
        <w:t>0.5</w:t>
      </w:r>
      <w:r>
        <w:rPr>
          <w:rFonts w:hint="eastAsia"/>
          <w:szCs w:val="32"/>
        </w:rPr>
        <w:t>平方公里；实施金龙场镇示范街区提档升级项目，金龙农贸市场改造完成，拆除场镇整治乱搭乱建；完成</w:t>
      </w:r>
      <w:r>
        <w:rPr>
          <w:szCs w:val="32"/>
        </w:rPr>
        <w:t>3</w:t>
      </w:r>
      <w:r>
        <w:rPr>
          <w:rFonts w:hint="eastAsia"/>
          <w:szCs w:val="32"/>
        </w:rPr>
        <w:t>个场镇生活污水管网改造，市政卫生排名位于永川镇街前列，场镇颜值显著提升。二是乡村面貌焕然一新，在全区率先完成各村规划编制；完成农村小康路建设，</w:t>
      </w:r>
      <w:r>
        <w:rPr>
          <w:szCs w:val="32"/>
        </w:rPr>
        <w:t>71个村民小组全部通达</w:t>
      </w:r>
      <w:r>
        <w:rPr>
          <w:rFonts w:hint="eastAsia"/>
          <w:szCs w:val="32"/>
        </w:rPr>
        <w:t>；实施农村旧房改造928户，安装太阳能路灯750盏，河道整治美化5.3公里；农村垃圾收运覆盖全部村社，打造清洁示范院落</w:t>
      </w:r>
      <w:r>
        <w:rPr>
          <w:szCs w:val="32"/>
        </w:rPr>
        <w:t>15</w:t>
      </w:r>
      <w:r>
        <w:rPr>
          <w:rFonts w:hint="eastAsia"/>
          <w:szCs w:val="32"/>
        </w:rPr>
        <w:t>个，实施金鼎村、灯坪村人居环境整治示范工程，乡村呈现出河</w:t>
      </w:r>
      <w:r>
        <w:rPr>
          <w:rFonts w:hint="eastAsia"/>
          <w:color w:val="auto"/>
          <w:szCs w:val="32"/>
        </w:rPr>
        <w:t>美岸</w:t>
      </w:r>
      <w:r>
        <w:rPr>
          <w:rFonts w:hint="eastAsia"/>
          <w:szCs w:val="32"/>
        </w:rPr>
        <w:t>绿村庄洁净风貌。三是提升人民生活水平，大力推进农村自来水改造工程，农村饮水供水率从24%提升至92%；扩大天然气覆盖范围，场镇95%以上和农村60%以上住户使用天然气、液化石油气和电等清洁能源；大力实施厕所革命，卫生厕所改厕6938户。2020年，燃灯村、金鼎村获评重庆市美丽宜居村庄。</w:t>
      </w:r>
    </w:p>
    <w:p>
      <w:pPr>
        <w:jc w:val="center"/>
        <w:rPr>
          <w:szCs w:val="32"/>
        </w:rPr>
      </w:pPr>
      <w:r>
        <w:rPr>
          <w:szCs w:val="32"/>
        </w:rPr>
        <w:drawing>
          <wp:inline distT="0" distB="0" distL="114300" distR="114300">
            <wp:extent cx="3145790" cy="2359025"/>
            <wp:effectExtent l="0" t="0" r="16510" b="317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5"/>
                    <a:stretch>
                      <a:fillRect/>
                    </a:stretch>
                  </pic:blipFill>
                  <pic:spPr>
                    <a:xfrm>
                      <a:off x="0" y="0"/>
                      <a:ext cx="3145790" cy="2359025"/>
                    </a:xfrm>
                    <a:prstGeom prst="rect">
                      <a:avLst/>
                    </a:prstGeom>
                    <a:noFill/>
                    <a:ln>
                      <a:noFill/>
                    </a:ln>
                  </pic:spPr>
                </pic:pic>
              </a:graphicData>
            </a:graphic>
          </wp:inline>
        </w:drawing>
      </w:r>
      <w:r>
        <w:rPr>
          <w:rFonts w:ascii="方正仿宋_GBK" w:hAnsi="方正仿宋_GBK" w:cs="方正仿宋_GBK"/>
          <w:szCs w:val="32"/>
        </w:rPr>
        <w:drawing>
          <wp:inline distT="0" distB="0" distL="114300" distR="114300">
            <wp:extent cx="2155825" cy="2360930"/>
            <wp:effectExtent l="0" t="0" r="15875" b="1270"/>
            <wp:docPr id="6" name="图片 4" descr="F:\2020.10桌面\千沟万塘工作\沟\金鼎村新屋基沟\新建污水管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F:\2020.10桌面\千沟万塘工作\沟\金鼎村新屋基沟\新建污水管网.jpg"/>
                    <pic:cNvPicPr>
                      <a:picLocks noChangeAspect="1"/>
                    </pic:cNvPicPr>
                  </pic:nvPicPr>
                  <pic:blipFill>
                    <a:blip r:embed="rId16"/>
                    <a:srcRect t="17749"/>
                    <a:stretch>
                      <a:fillRect/>
                    </a:stretch>
                  </pic:blipFill>
                  <pic:spPr>
                    <a:xfrm>
                      <a:off x="0" y="0"/>
                      <a:ext cx="2155825" cy="2360930"/>
                    </a:xfrm>
                    <a:prstGeom prst="rect">
                      <a:avLst/>
                    </a:prstGeom>
                    <a:noFill/>
                    <a:ln>
                      <a:noFill/>
                    </a:ln>
                  </pic:spPr>
                </pic:pic>
              </a:graphicData>
            </a:graphic>
          </wp:inline>
        </w:drawing>
      </w:r>
    </w:p>
    <w:p>
      <w:pPr>
        <w:jc w:val="center"/>
        <w:rPr>
          <w:rFonts w:hint="eastAsia"/>
          <w:szCs w:val="32"/>
        </w:rPr>
      </w:pPr>
      <w:r>
        <w:rPr>
          <w:rFonts w:hint="eastAsia" w:ascii="方正黑体_GBK" w:eastAsia="方正黑体_GBK"/>
          <w:sz w:val="28"/>
          <w:szCs w:val="28"/>
        </w:rPr>
        <w:t>图2-</w:t>
      </w:r>
      <w:r>
        <w:rPr>
          <w:rFonts w:ascii="方正黑体_GBK" w:eastAsia="方正黑体_GBK"/>
          <w:sz w:val="28"/>
          <w:szCs w:val="28"/>
        </w:rPr>
        <w:t>3</w:t>
      </w:r>
      <w:r>
        <w:rPr>
          <w:rFonts w:hint="eastAsia" w:ascii="方正黑体_GBK" w:eastAsia="方正黑体_GBK"/>
          <w:sz w:val="28"/>
          <w:szCs w:val="28"/>
        </w:rPr>
        <w:t xml:space="preserve"> 金鼎村农村生活污水治理典型案例（新屋基院子）</w:t>
      </w:r>
    </w:p>
    <w:p>
      <w:pPr>
        <w:ind w:firstLine="634" w:firstLineChars="200"/>
        <w:outlineLvl w:val="2"/>
        <w:rPr>
          <w:szCs w:val="32"/>
        </w:rPr>
      </w:pPr>
      <w:bookmarkStart w:id="20" w:name="_Toc106638404"/>
      <w:r>
        <w:rPr>
          <w:rFonts w:hint="eastAsia"/>
          <w:szCs w:val="32"/>
        </w:rPr>
        <w:t>2.2.</w:t>
      </w:r>
      <w:r>
        <w:rPr>
          <w:szCs w:val="32"/>
        </w:rPr>
        <w:t>5</w:t>
      </w:r>
      <w:r>
        <w:rPr>
          <w:rFonts w:hint="eastAsia"/>
          <w:szCs w:val="32"/>
        </w:rPr>
        <w:t>多渠道开展文化建设营造出良好的创建氛围</w:t>
      </w:r>
      <w:bookmarkEnd w:id="20"/>
    </w:p>
    <w:p>
      <w:pPr>
        <w:ind w:firstLine="634" w:firstLineChars="200"/>
        <w:rPr>
          <w:szCs w:val="32"/>
        </w:rPr>
      </w:pPr>
      <w:r>
        <w:rPr>
          <w:rFonts w:hint="eastAsia"/>
          <w:szCs w:val="32"/>
        </w:rPr>
        <w:t>加强与媒体合作交流，充分利用《重庆日报》、《永川日报》、永川网、永川电视台等主要媒体以及微信、网络媒体等新兴媒体力量，大力推介金龙镇扶贫工作、九龙河治理、生态农业、乡村旅游等建设进度和成果，先后多次被国家、市级平台报道，营造出良好的金龙形象。传承优良传统文化，制定，倡导待人和善、家庭和乐、邻里和睦、社区和谐、家园洁美社区文化，获得区级“最美家庭”称号3户，建成灯坪村杨家大院等4个“四和一美”示范院落。弘扬社会主义核心价值观，深化志愿者、新乡贤队伍建设，成立志愿者服务队，开展“清洁乡村”“文明出行”等志愿活动，8个村（社区）全部建立村规民约，每年制定生态环境保护宣传工作计划，召开各种会议、张贴标语、村居宣传栏等多种形式宣传生态环保法律法规。</w:t>
      </w:r>
    </w:p>
    <w:p>
      <w:pPr>
        <w:ind w:firstLine="634" w:firstLineChars="200"/>
        <w:jc w:val="left"/>
        <w:outlineLvl w:val="1"/>
        <w:rPr>
          <w:rFonts w:eastAsia="方正楷体_GBK"/>
          <w:szCs w:val="32"/>
        </w:rPr>
      </w:pPr>
      <w:bookmarkStart w:id="21" w:name="_Toc106638405"/>
      <w:r>
        <w:rPr>
          <w:rFonts w:hint="eastAsia" w:eastAsia="方正楷体_GBK"/>
          <w:szCs w:val="32"/>
        </w:rPr>
        <w:t>2</w:t>
      </w:r>
      <w:r>
        <w:rPr>
          <w:rFonts w:eastAsia="方正楷体_GBK"/>
          <w:szCs w:val="32"/>
        </w:rPr>
        <w:t>.3</w:t>
      </w:r>
      <w:r>
        <w:rPr>
          <w:rFonts w:hint="eastAsia" w:eastAsia="方正楷体_GBK"/>
          <w:szCs w:val="32"/>
        </w:rPr>
        <w:t>存在的问题</w:t>
      </w:r>
      <w:bookmarkEnd w:id="21"/>
    </w:p>
    <w:p>
      <w:pPr>
        <w:ind w:firstLine="634" w:firstLineChars="200"/>
        <w:rPr>
          <w:szCs w:val="32"/>
        </w:rPr>
      </w:pPr>
      <w:r>
        <w:rPr>
          <w:rFonts w:hint="eastAsia" w:ascii="方正楷体_GBK" w:eastAsia="方正楷体_GBK"/>
          <w:szCs w:val="32"/>
        </w:rPr>
        <w:t>镇域经济基础仍相对薄弱。</w:t>
      </w:r>
      <w:r>
        <w:rPr>
          <w:rFonts w:hint="eastAsia"/>
          <w:szCs w:val="32"/>
        </w:rPr>
        <w:t>受新冠疫情、国内外经济形势等要素制约，近2年镇域经济增速放缓，特别是第三产业生产总值出现下降，抵抗外部冲击能力较弱。金龙镇人均可支配收入水平虽然接近永川区平均水平，但与周边镇街比较仍有一定差距。全镇绿色产业发展尚处于起步阶段，生态农业的优势还没有充分发挥，丰富的农业资源还没有很好转化为农业发展优势，农业产业链条较短，土地、人才、技术、资金和观念对农业产业化、规模化制约较为严重。乡村旅游的系统性建设不足，旅游点小、散，还没有形成“一廊一带”以及与茶山竹海串联的旅游格局。</w:t>
      </w:r>
    </w:p>
    <w:p>
      <w:pPr>
        <w:ind w:firstLine="634" w:firstLineChars="200"/>
        <w:rPr>
          <w:rFonts w:hint="eastAsia"/>
          <w:szCs w:val="32"/>
        </w:rPr>
      </w:pPr>
      <w:r>
        <w:rPr>
          <w:rFonts w:hint="eastAsia" w:ascii="方正楷体_GBK" w:eastAsia="方正楷体_GBK"/>
          <w:szCs w:val="32"/>
        </w:rPr>
        <w:t>生态环境保护与修复任重道远。</w:t>
      </w:r>
      <w:r>
        <w:rPr>
          <w:rFonts w:hint="eastAsia"/>
          <w:szCs w:val="32"/>
        </w:rPr>
        <w:t>永川区赋予了金龙镇更高的生态区位，也给金龙镇带来了更大生态环境保护压力。全镇仍存在部分支流水质不稳定达标、污水管网维护难度大、农业面源治理压力大等问题，特别是随着金龙镇现代农业规模化发展，带来了农药、化肥施用量增加，包装废弃物处理利用体系也不够完善，加之农业面源污染分布面积广、在空间上和时间上污染物具有较大的不确定性，造成农业面源污染防治工作压力倍增。农村传统生活方式使得农村生活垃圾分类推动较为缓慢，资金不足也使得农村生活污水治理等基础设施建设相对滞后。</w:t>
      </w:r>
    </w:p>
    <w:p>
      <w:pPr>
        <w:ind w:firstLine="634" w:firstLineChars="200"/>
        <w:rPr>
          <w:rFonts w:hint="eastAsia"/>
          <w:szCs w:val="32"/>
        </w:rPr>
      </w:pPr>
      <w:r>
        <w:rPr>
          <w:rFonts w:hint="eastAsia" w:ascii="方正楷体_GBK" w:eastAsia="方正楷体_GBK"/>
          <w:szCs w:val="32"/>
        </w:rPr>
        <w:t>基层环保能力有待进一步完善。</w:t>
      </w:r>
      <w:r>
        <w:rPr>
          <w:rFonts w:hint="eastAsia"/>
          <w:szCs w:val="32"/>
        </w:rPr>
        <w:t>镇级虽然已建立专门的环保机构，但环保人员往往少且身兼数职，全镇共有3名环保人员，全部同时兼职其他部门职责，环保工作难以深入基层。同时，受限于人员、专业性等因素，环境执法、监测及处置突发性环境污染事件的能力有待进一步加强，且金龙镇生态地位越来越重要，永川区定位金龙镇为东北部生态农业区，随着生态区位越来越重要，全镇环境监管能力、技术装备、人员编制等不能满足生态环境保护工作水平的要求。</w:t>
      </w:r>
    </w:p>
    <w:p>
      <w:pPr>
        <w:ind w:firstLine="634" w:firstLineChars="200"/>
        <w:rPr>
          <w:szCs w:val="32"/>
        </w:rPr>
      </w:pPr>
      <w:r>
        <w:rPr>
          <w:rFonts w:hint="eastAsia" w:ascii="方正楷体_GBK" w:eastAsia="方正楷体_GBK"/>
          <w:szCs w:val="32"/>
        </w:rPr>
        <w:t>生态文明意识需进一步提高。</w:t>
      </w:r>
      <w:r>
        <w:rPr>
          <w:rFonts w:hint="eastAsia"/>
          <w:szCs w:val="32"/>
        </w:rPr>
        <w:t>生态环境保护仍然以政府主导，以行政手段为主线，尚未转化为企业和公众的自觉行动，生态环境意识仍然较薄弱。部分村民生产生活习惯仍相对粗放，对生态环境保护的认识还不足，对生态环境保护的法律、法规、制度理解不到位，参与意识不强，如垃圾分类收集分类处理的一些环保理念尚未深入人心，建设生态宜居美丽乡村的责任感、主人翁意识尚待提高。同时由于乡村生产活动粗放，在供给原产品的生产过程中，经济利益的驱动让乡村的发展在很大程度上牺牲了生态环境，整体生态文明意识尚未形成。从工业企业来看，企业环保责任意识不强，主动保护环境的意识有待形成。随着乡村振兴的深入推进，将涌现出一批龙头企业、种植大户、致富带头人、家庭农场主，亟</w:t>
      </w:r>
      <w:r>
        <w:rPr>
          <w:rFonts w:hint="eastAsia"/>
          <w:color w:val="auto"/>
          <w:szCs w:val="32"/>
        </w:rPr>
        <w:t>需</w:t>
      </w:r>
      <w:r>
        <w:rPr>
          <w:rFonts w:hint="eastAsia"/>
          <w:szCs w:val="32"/>
        </w:rPr>
        <w:t>加强对新兴主体的生态文明宣传教育，打造示范引领样板。</w:t>
      </w:r>
    </w:p>
    <w:p>
      <w:pPr>
        <w:ind w:firstLine="634" w:firstLineChars="200"/>
        <w:jc w:val="left"/>
        <w:outlineLvl w:val="1"/>
        <w:rPr>
          <w:rFonts w:hint="eastAsia" w:eastAsia="方正楷体_GBK"/>
          <w:szCs w:val="32"/>
        </w:rPr>
      </w:pPr>
      <w:bookmarkStart w:id="22" w:name="_Toc106638406"/>
      <w:r>
        <w:rPr>
          <w:rFonts w:hint="eastAsia" w:eastAsia="方正楷体_GBK"/>
          <w:szCs w:val="32"/>
        </w:rPr>
        <w:t>2</w:t>
      </w:r>
      <w:r>
        <w:rPr>
          <w:rFonts w:eastAsia="方正楷体_GBK"/>
          <w:szCs w:val="32"/>
        </w:rPr>
        <w:t>.4</w:t>
      </w:r>
      <w:r>
        <w:rPr>
          <w:rFonts w:hint="eastAsia" w:eastAsia="方正楷体_GBK"/>
          <w:szCs w:val="32"/>
        </w:rPr>
        <w:t>面临的形势</w:t>
      </w:r>
      <w:bookmarkEnd w:id="22"/>
    </w:p>
    <w:p>
      <w:pPr>
        <w:ind w:firstLine="634" w:firstLineChars="200"/>
        <w:rPr>
          <w:szCs w:val="32"/>
        </w:rPr>
      </w:pPr>
      <w:r>
        <w:rPr>
          <w:rFonts w:hint="eastAsia" w:ascii="方正楷体_GBK" w:eastAsia="方正楷体_GBK"/>
          <w:szCs w:val="32"/>
        </w:rPr>
        <w:t>各级党委政府高度重视，顶层设计日趋完善。</w:t>
      </w:r>
      <w:r>
        <w:rPr>
          <w:rFonts w:hint="eastAsia"/>
          <w:szCs w:val="32"/>
        </w:rPr>
        <w:t>党的十八大以来，以习近平同志为核心的党中央立足新时代我国社会主要矛盾变化，适应和把握我国经济发展进入新常态的趋势性特征，着眼提供更多优质生态产品以满足人民日益增长的优美生态环境需要，把生态文明建设纳入“五位一体”总体布局，推动生态文明建设和生态环境保护从实践到认识发生历史性、转折性、全局性变化。重庆市生态环境局出台了《&lt;</w:t>
      </w:r>
      <w:r>
        <w:rPr>
          <w:szCs w:val="32"/>
        </w:rPr>
        <w:t>重庆市生态文明建设示范区县管理规程及建设指标&gt;等三项制度的通知》</w:t>
      </w:r>
      <w:r>
        <w:rPr>
          <w:rFonts w:hint="eastAsia"/>
          <w:szCs w:val="32"/>
        </w:rPr>
        <w:t>等文件，指导各地开展生态文明建设示范乡镇创建工作，区委区政府作出了将永川区创建成为重庆市生态文明建设示范区的战略部署，全区生态文明建设示范创建氛围</w:t>
      </w:r>
      <w:r>
        <w:rPr>
          <w:rFonts w:hint="eastAsia"/>
          <w:color w:val="auto"/>
          <w:szCs w:val="32"/>
        </w:rPr>
        <w:t>强</w:t>
      </w:r>
      <w:r>
        <w:rPr>
          <w:rFonts w:hint="eastAsia"/>
          <w:szCs w:val="32"/>
        </w:rPr>
        <w:t>烈，为金龙镇创建重庆市生态文明建设示范乡镇提供有力保障。“十四五”时期，金龙镇确立了“一二五”发展思路，金龙镇作为永川东北部重要生态农业区，以九龙河现代农业园区、乡村旅游建设为抓手，大力推动农旅融合发展，生态产业初具规模，而明确的功能定位、良好的产业发展及明朗的空间布局，为金龙镇开展生态文明建设示范创造出良好的机遇。</w:t>
      </w:r>
    </w:p>
    <w:p>
      <w:pPr>
        <w:ind w:firstLine="634" w:firstLineChars="200"/>
        <w:rPr>
          <w:rFonts w:hint="eastAsia"/>
          <w:szCs w:val="32"/>
        </w:rPr>
      </w:pPr>
      <w:r>
        <w:rPr>
          <w:rFonts w:hint="eastAsia" w:ascii="方正楷体_GBK" w:eastAsia="方正楷体_GBK"/>
          <w:szCs w:val="32"/>
        </w:rPr>
        <w:t>乡村振兴战略稳步实施，助推生态文明建设。</w:t>
      </w:r>
      <w:r>
        <w:rPr>
          <w:rFonts w:hint="eastAsia"/>
          <w:szCs w:val="32"/>
        </w:rPr>
        <w:t>乡村生态文明历来都是生态文明建设中的薄弱环节，党中央对实施乡村振兴战略提出“产业兴旺、生态宜居、乡风文明、治理有效、生活富裕”的总要求，把生态文明理念融入了乡村发展的经济建设、政治建设、文化建设、社会建设的各个方面，从而推动实现乡村生态文明的全面建设，也为金龙镇生态文明建设提供了理论指导和原生动力。乡村振兴要在生态宜居的基础上才能建设得更好，良好的生态环境是乡村振兴的基础和保障，乡村振兴战略的推进势必会加大对乡村生态治理的相关投入，加快改善农村人居环境，着重解决农村面源污染、污水排放、道路改造、绿化提升等问题，扎实推进各项基础设施建设，全面改善农村环境。全面推进乡村振兴战略必须走绿色发展之路，将进一步转变传统思想观念，不断完善相关的生态文明制度，都将加快金龙镇生态文明建设进程。</w:t>
      </w:r>
    </w:p>
    <w:p>
      <w:pPr>
        <w:ind w:firstLine="634" w:firstLineChars="200"/>
        <w:rPr>
          <w:rFonts w:hint="eastAsia"/>
          <w:szCs w:val="32"/>
        </w:rPr>
      </w:pPr>
    </w:p>
    <w:p>
      <w:pPr>
        <w:ind w:firstLine="634" w:firstLineChars="200"/>
        <w:jc w:val="left"/>
        <w:outlineLvl w:val="0"/>
        <w:rPr>
          <w:rFonts w:hint="eastAsia" w:eastAsia="方正黑体_GBK"/>
          <w:szCs w:val="32"/>
        </w:rPr>
      </w:pPr>
      <w:bookmarkStart w:id="23" w:name="_Toc106638407"/>
      <w:r>
        <w:rPr>
          <w:rFonts w:hint="eastAsia" w:eastAsia="方正黑体_GBK"/>
          <w:szCs w:val="32"/>
        </w:rPr>
        <w:t>3规划目标与指标</w:t>
      </w:r>
      <w:bookmarkEnd w:id="23"/>
    </w:p>
    <w:p>
      <w:pPr>
        <w:ind w:firstLine="634" w:firstLineChars="200"/>
        <w:jc w:val="left"/>
        <w:outlineLvl w:val="1"/>
        <w:rPr>
          <w:rFonts w:eastAsia="方正楷体_GBK"/>
          <w:szCs w:val="32"/>
        </w:rPr>
      </w:pPr>
      <w:bookmarkStart w:id="24" w:name="_Toc106638408"/>
      <w:r>
        <w:rPr>
          <w:rFonts w:hint="eastAsia" w:eastAsia="方正楷体_GBK"/>
          <w:szCs w:val="32"/>
        </w:rPr>
        <w:t>3</w:t>
      </w:r>
      <w:r>
        <w:rPr>
          <w:rFonts w:eastAsia="方正楷体_GBK"/>
          <w:szCs w:val="32"/>
        </w:rPr>
        <w:t>.1</w:t>
      </w:r>
      <w:r>
        <w:rPr>
          <w:rFonts w:hint="eastAsia" w:eastAsia="方正楷体_GBK"/>
          <w:szCs w:val="32"/>
        </w:rPr>
        <w:t>规划目标</w:t>
      </w:r>
      <w:bookmarkEnd w:id="24"/>
    </w:p>
    <w:p>
      <w:pPr>
        <w:ind w:firstLine="634" w:firstLineChars="200"/>
        <w:rPr>
          <w:rFonts w:hint="eastAsia"/>
          <w:szCs w:val="32"/>
        </w:rPr>
      </w:pPr>
      <w:r>
        <w:rPr>
          <w:rFonts w:hint="eastAsia"/>
          <w:szCs w:val="32"/>
        </w:rPr>
        <w:t>全面推进生态文明建设示范镇创建工作，到202</w:t>
      </w:r>
      <w:r>
        <w:rPr>
          <w:szCs w:val="32"/>
        </w:rPr>
        <w:t>3</w:t>
      </w:r>
      <w:r>
        <w:rPr>
          <w:rFonts w:hint="eastAsia"/>
          <w:szCs w:val="32"/>
        </w:rPr>
        <w:t>年，镇域生态空间更加优化，生态环境质量持续改善，特色生态产业稳步发展，基础设施建设逐步完善，生态文化制度不断健全，生产方式和生活方式绿色、低碳水平明显提升，达到生态文明建设示范镇要求，到202</w:t>
      </w:r>
      <w:r>
        <w:rPr>
          <w:szCs w:val="32"/>
        </w:rPr>
        <w:t>3</w:t>
      </w:r>
      <w:r>
        <w:rPr>
          <w:rFonts w:hint="eastAsia"/>
          <w:szCs w:val="32"/>
        </w:rPr>
        <w:t>年成功申报命名为重庆市生态文明建设示范镇，助推金龙镇成为永川区首批市级生态文明建设示范镇，基本建成“生态、休闲、和美、幸福”金龙。到20</w:t>
      </w:r>
      <w:r>
        <w:rPr>
          <w:szCs w:val="32"/>
        </w:rPr>
        <w:t>25</w:t>
      </w:r>
      <w:r>
        <w:rPr>
          <w:rFonts w:hint="eastAsia"/>
          <w:szCs w:val="32"/>
        </w:rPr>
        <w:t>年，持续巩固提升重庆市生态文明建设示范镇创建成果，继续深化创建工作。</w:t>
      </w:r>
    </w:p>
    <w:p>
      <w:pPr>
        <w:ind w:firstLine="634" w:firstLineChars="200"/>
        <w:jc w:val="left"/>
        <w:outlineLvl w:val="1"/>
        <w:rPr>
          <w:rFonts w:hint="eastAsia" w:eastAsia="方正楷体_GBK"/>
          <w:szCs w:val="32"/>
        </w:rPr>
      </w:pPr>
      <w:bookmarkStart w:id="25" w:name="_Toc106638409"/>
      <w:r>
        <w:rPr>
          <w:rFonts w:hint="eastAsia" w:eastAsia="方正楷体_GBK"/>
          <w:szCs w:val="32"/>
        </w:rPr>
        <w:t>3</w:t>
      </w:r>
      <w:r>
        <w:rPr>
          <w:rFonts w:eastAsia="方正楷体_GBK"/>
          <w:szCs w:val="32"/>
        </w:rPr>
        <w:t>.2</w:t>
      </w:r>
      <w:r>
        <w:rPr>
          <w:rFonts w:hint="eastAsia" w:eastAsia="方正楷体_GBK"/>
          <w:szCs w:val="32"/>
        </w:rPr>
        <w:t>规划指标</w:t>
      </w:r>
      <w:bookmarkEnd w:id="25"/>
    </w:p>
    <w:p>
      <w:pPr>
        <w:ind w:firstLine="634" w:firstLineChars="200"/>
        <w:rPr>
          <w:rFonts w:hint="eastAsia"/>
          <w:szCs w:val="32"/>
        </w:rPr>
      </w:pPr>
      <w:r>
        <w:rPr>
          <w:rFonts w:hint="eastAsia"/>
          <w:szCs w:val="32"/>
        </w:rPr>
        <w:t>根据《重庆市生态环境局办公室关于印发&lt;重庆市生态文明建设示范区县管理规程及建设指标&gt;等三项制度的通知》（渝环办〔2020〕8号）文件要求，设置七大领域25项指标。指标要求及现状值见表3-</w:t>
      </w:r>
      <w:r>
        <w:rPr>
          <w:szCs w:val="32"/>
        </w:rPr>
        <w:t>1</w:t>
      </w:r>
      <w:r>
        <w:rPr>
          <w:rFonts w:hint="eastAsia"/>
          <w:szCs w:val="32"/>
        </w:rPr>
        <w:t>。</w:t>
      </w:r>
    </w:p>
    <w:p>
      <w:pPr>
        <w:ind w:firstLine="554" w:firstLineChars="200"/>
        <w:jc w:val="center"/>
        <w:rPr>
          <w:rFonts w:eastAsia="方正黑体_GBK"/>
          <w:sz w:val="28"/>
          <w:szCs w:val="28"/>
        </w:rPr>
      </w:pPr>
      <w:r>
        <w:rPr>
          <w:rFonts w:eastAsia="方正黑体_GBK"/>
          <w:sz w:val="28"/>
          <w:szCs w:val="28"/>
        </w:rPr>
        <w:t xml:space="preserve">表3-1 </w:t>
      </w:r>
      <w:r>
        <w:rPr>
          <w:rFonts w:hint="eastAsia" w:eastAsia="方正黑体_GBK"/>
          <w:sz w:val="28"/>
          <w:szCs w:val="28"/>
        </w:rPr>
        <w:t>金龙镇创建</w:t>
      </w:r>
      <w:r>
        <w:rPr>
          <w:rFonts w:eastAsia="方正黑体_GBK"/>
          <w:sz w:val="28"/>
          <w:szCs w:val="28"/>
        </w:rPr>
        <w:t>重庆市生态文明建设示范镇指标</w:t>
      </w:r>
    </w:p>
    <w:tbl>
      <w:tblPr>
        <w:tblStyle w:val="11"/>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0" w:type="dxa"/>
        </w:tblCellMar>
      </w:tblPr>
      <w:tblGrid>
        <w:gridCol w:w="568"/>
        <w:gridCol w:w="615"/>
        <w:gridCol w:w="2517"/>
        <w:gridCol w:w="709"/>
        <w:gridCol w:w="1276"/>
        <w:gridCol w:w="708"/>
        <w:gridCol w:w="993"/>
        <w:gridCol w:w="708"/>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tblHeader/>
          <w:jc w:val="center"/>
        </w:trPr>
        <w:tc>
          <w:tcPr>
            <w:tcW w:w="568"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序号</w:t>
            </w:r>
          </w:p>
        </w:tc>
        <w:tc>
          <w:tcPr>
            <w:tcW w:w="615"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领域</w:t>
            </w:r>
          </w:p>
        </w:tc>
        <w:tc>
          <w:tcPr>
            <w:tcW w:w="2517"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指标</w:t>
            </w:r>
          </w:p>
        </w:tc>
        <w:tc>
          <w:tcPr>
            <w:tcW w:w="709"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单位</w:t>
            </w:r>
          </w:p>
        </w:tc>
        <w:tc>
          <w:tcPr>
            <w:tcW w:w="1276"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指标值（A）</w:t>
            </w:r>
          </w:p>
        </w:tc>
        <w:tc>
          <w:tcPr>
            <w:tcW w:w="708"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分值</w:t>
            </w:r>
          </w:p>
        </w:tc>
        <w:tc>
          <w:tcPr>
            <w:tcW w:w="993" w:type="dxa"/>
            <w:noWrap w:val="0"/>
            <w:vAlign w:val="center"/>
          </w:tcPr>
          <w:p>
            <w:pPr>
              <w:adjustRightInd w:val="0"/>
              <w:snapToGrid w:val="0"/>
              <w:spacing w:line="320" w:lineRule="exact"/>
              <w:jc w:val="center"/>
              <w:rPr>
                <w:rFonts w:hint="eastAsia" w:eastAsia="方正黑体_GBK"/>
                <w:kern w:val="0"/>
                <w:sz w:val="21"/>
                <w:szCs w:val="21"/>
              </w:rPr>
            </w:pPr>
            <w:r>
              <w:rPr>
                <w:rFonts w:hint="eastAsia" w:eastAsia="方正黑体_GBK"/>
                <w:kern w:val="0"/>
                <w:sz w:val="21"/>
                <w:szCs w:val="21"/>
              </w:rPr>
              <w:t>2</w:t>
            </w:r>
            <w:r>
              <w:rPr>
                <w:rFonts w:eastAsia="方正黑体_GBK"/>
                <w:kern w:val="0"/>
                <w:sz w:val="21"/>
                <w:szCs w:val="21"/>
              </w:rPr>
              <w:t>021</w:t>
            </w:r>
            <w:r>
              <w:rPr>
                <w:rFonts w:hint="eastAsia" w:eastAsia="方正黑体_GBK"/>
                <w:kern w:val="0"/>
                <w:sz w:val="21"/>
                <w:szCs w:val="21"/>
              </w:rPr>
              <w:t>年现状值</w:t>
            </w:r>
          </w:p>
        </w:tc>
        <w:tc>
          <w:tcPr>
            <w:tcW w:w="708" w:type="dxa"/>
            <w:noWrap w:val="0"/>
            <w:vAlign w:val="center"/>
          </w:tcPr>
          <w:p>
            <w:pPr>
              <w:adjustRightInd w:val="0"/>
              <w:snapToGrid w:val="0"/>
              <w:spacing w:line="320" w:lineRule="exact"/>
              <w:jc w:val="center"/>
              <w:rPr>
                <w:rFonts w:eastAsia="方正黑体_GBK"/>
                <w:kern w:val="0"/>
                <w:sz w:val="21"/>
                <w:szCs w:val="21"/>
              </w:rPr>
            </w:pPr>
            <w:r>
              <w:rPr>
                <w:rFonts w:hint="eastAsia" w:eastAsia="方正黑体_GBK"/>
                <w:kern w:val="0"/>
                <w:sz w:val="21"/>
                <w:szCs w:val="21"/>
              </w:rPr>
              <w:t>评分</w:t>
            </w:r>
          </w:p>
        </w:tc>
        <w:tc>
          <w:tcPr>
            <w:tcW w:w="1061" w:type="dxa"/>
            <w:noWrap w:val="0"/>
            <w:vAlign w:val="center"/>
          </w:tcPr>
          <w:p>
            <w:pPr>
              <w:adjustRightInd w:val="0"/>
              <w:snapToGrid w:val="0"/>
              <w:spacing w:line="320" w:lineRule="exact"/>
              <w:jc w:val="center"/>
              <w:rPr>
                <w:rFonts w:hint="eastAsia" w:eastAsia="方正黑体_GBK"/>
                <w:kern w:val="0"/>
                <w:sz w:val="21"/>
                <w:szCs w:val="21"/>
              </w:rPr>
            </w:pPr>
            <w:r>
              <w:rPr>
                <w:rFonts w:hint="eastAsia" w:eastAsia="方正黑体_GBK"/>
                <w:kern w:val="0"/>
                <w:sz w:val="21"/>
                <w:szCs w:val="21"/>
              </w:rPr>
              <w:t>2</w:t>
            </w:r>
            <w:r>
              <w:rPr>
                <w:rFonts w:eastAsia="方正黑体_GBK"/>
                <w:kern w:val="0"/>
                <w:sz w:val="21"/>
                <w:szCs w:val="21"/>
              </w:rPr>
              <w:t>023</w:t>
            </w:r>
            <w:r>
              <w:rPr>
                <w:rFonts w:hint="eastAsia" w:eastAsia="方正黑体_GBK"/>
                <w:kern w:val="0"/>
                <w:sz w:val="21"/>
                <w:szCs w:val="21"/>
              </w:rPr>
              <w:t>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jc w:val="center"/>
        </w:trPr>
        <w:tc>
          <w:tcPr>
            <w:tcW w:w="568" w:type="dxa"/>
            <w:noWrap w:val="0"/>
            <w:vAlign w:val="center"/>
          </w:tcPr>
          <w:p>
            <w:pPr>
              <w:adjustRightInd w:val="0"/>
              <w:snapToGrid w:val="0"/>
              <w:spacing w:line="260" w:lineRule="exact"/>
              <w:jc w:val="center"/>
              <w:rPr>
                <w:kern w:val="0"/>
                <w:sz w:val="21"/>
                <w:szCs w:val="21"/>
              </w:rPr>
            </w:pPr>
            <w:r>
              <w:rPr>
                <w:kern w:val="0"/>
                <w:sz w:val="21"/>
                <w:szCs w:val="21"/>
              </w:rPr>
              <w:t>1</w:t>
            </w:r>
          </w:p>
        </w:tc>
        <w:tc>
          <w:tcPr>
            <w:tcW w:w="615" w:type="dxa"/>
            <w:vMerge w:val="restart"/>
            <w:noWrap w:val="0"/>
            <w:vAlign w:val="center"/>
          </w:tcPr>
          <w:p>
            <w:pPr>
              <w:adjustRightInd w:val="0"/>
              <w:spacing w:line="260" w:lineRule="exact"/>
              <w:jc w:val="center"/>
              <w:rPr>
                <w:kern w:val="0"/>
                <w:sz w:val="21"/>
                <w:szCs w:val="21"/>
              </w:rPr>
            </w:pPr>
            <w:r>
              <w:rPr>
                <w:sz w:val="21"/>
                <w:szCs w:val="21"/>
              </w:rPr>
              <w:t>生态制度</w:t>
            </w:r>
          </w:p>
        </w:tc>
        <w:tc>
          <w:tcPr>
            <w:tcW w:w="2517" w:type="dxa"/>
            <w:noWrap w:val="0"/>
            <w:vAlign w:val="center"/>
          </w:tcPr>
          <w:p>
            <w:pPr>
              <w:adjustRightInd w:val="0"/>
              <w:spacing w:line="260" w:lineRule="exact"/>
              <w:jc w:val="left"/>
              <w:rPr>
                <w:sz w:val="21"/>
                <w:szCs w:val="21"/>
              </w:rPr>
            </w:pPr>
            <w:r>
              <w:rPr>
                <w:sz w:val="21"/>
                <w:szCs w:val="21"/>
              </w:rPr>
              <w:t>重庆市生态文明建设示范创建规划或实施方案</w:t>
            </w:r>
          </w:p>
        </w:tc>
        <w:tc>
          <w:tcPr>
            <w:tcW w:w="709" w:type="dxa"/>
            <w:noWrap w:val="0"/>
            <w:vAlign w:val="center"/>
          </w:tcPr>
          <w:p>
            <w:pPr>
              <w:adjustRightInd w:val="0"/>
              <w:spacing w:line="260" w:lineRule="exact"/>
              <w:jc w:val="center"/>
              <w:rPr>
                <w:sz w:val="21"/>
                <w:szCs w:val="21"/>
              </w:rPr>
            </w:pPr>
            <w:r>
              <w:rPr>
                <w:sz w:val="21"/>
                <w:szCs w:val="21"/>
              </w:rPr>
              <w:t>-</w:t>
            </w:r>
          </w:p>
        </w:tc>
        <w:tc>
          <w:tcPr>
            <w:tcW w:w="1276" w:type="dxa"/>
            <w:noWrap w:val="0"/>
            <w:vAlign w:val="center"/>
          </w:tcPr>
          <w:p>
            <w:pPr>
              <w:adjustRightInd w:val="0"/>
              <w:spacing w:line="260" w:lineRule="exact"/>
              <w:jc w:val="center"/>
              <w:rPr>
                <w:sz w:val="21"/>
                <w:szCs w:val="21"/>
              </w:rPr>
            </w:pPr>
            <w:bookmarkStart w:id="26" w:name="_Hlk91770644"/>
            <w:r>
              <w:rPr>
                <w:sz w:val="21"/>
                <w:szCs w:val="21"/>
              </w:rPr>
              <w:t>印发实施</w:t>
            </w:r>
            <w:bookmarkEnd w:id="26"/>
          </w:p>
        </w:tc>
        <w:tc>
          <w:tcPr>
            <w:tcW w:w="708" w:type="dxa"/>
            <w:noWrap w:val="0"/>
            <w:vAlign w:val="center"/>
          </w:tcPr>
          <w:p>
            <w:pPr>
              <w:adjustRightInd w:val="0"/>
              <w:snapToGrid w:val="0"/>
              <w:spacing w:line="260" w:lineRule="exact"/>
              <w:jc w:val="center"/>
              <w:rPr>
                <w:kern w:val="0"/>
                <w:sz w:val="21"/>
                <w:szCs w:val="21"/>
              </w:rPr>
            </w:pPr>
            <w:r>
              <w:rPr>
                <w:kern w:val="0"/>
                <w:sz w:val="21"/>
                <w:szCs w:val="21"/>
              </w:rPr>
              <w:t>3</w:t>
            </w:r>
          </w:p>
        </w:tc>
        <w:tc>
          <w:tcPr>
            <w:tcW w:w="993" w:type="dxa"/>
            <w:noWrap w:val="0"/>
            <w:vAlign w:val="center"/>
          </w:tcPr>
          <w:p>
            <w:pPr>
              <w:adjustRightInd w:val="0"/>
              <w:snapToGrid w:val="0"/>
              <w:spacing w:line="260" w:lineRule="exact"/>
              <w:jc w:val="center"/>
              <w:rPr>
                <w:rFonts w:hint="eastAsia"/>
                <w:kern w:val="0"/>
                <w:sz w:val="21"/>
                <w:szCs w:val="21"/>
              </w:rPr>
            </w:pPr>
            <w:r>
              <w:rPr>
                <w:rFonts w:hint="eastAsia"/>
                <w:color w:val="auto"/>
                <w:kern w:val="0"/>
                <w:sz w:val="21"/>
                <w:szCs w:val="21"/>
              </w:rPr>
              <w:t>制</w:t>
            </w:r>
            <w:r>
              <w:rPr>
                <w:rFonts w:hint="eastAsia"/>
                <w:kern w:val="0"/>
                <w:sz w:val="21"/>
                <w:szCs w:val="21"/>
              </w:rPr>
              <w:t>定暂未印发</w:t>
            </w:r>
          </w:p>
        </w:tc>
        <w:tc>
          <w:tcPr>
            <w:tcW w:w="708" w:type="dxa"/>
            <w:noWrap w:val="0"/>
            <w:vAlign w:val="center"/>
          </w:tcPr>
          <w:p>
            <w:pPr>
              <w:adjustRightInd w:val="0"/>
              <w:snapToGrid w:val="0"/>
              <w:spacing w:line="260" w:lineRule="exact"/>
              <w:jc w:val="center"/>
              <w:rPr>
                <w:kern w:val="0"/>
                <w:sz w:val="21"/>
                <w:szCs w:val="21"/>
              </w:rPr>
            </w:pPr>
            <w:r>
              <w:rPr>
                <w:rFonts w:hint="eastAsia"/>
                <w:kern w:val="0"/>
                <w:sz w:val="21"/>
                <w:szCs w:val="21"/>
              </w:rPr>
              <w:t>0</w:t>
            </w:r>
          </w:p>
        </w:tc>
        <w:tc>
          <w:tcPr>
            <w:tcW w:w="1061" w:type="dxa"/>
            <w:noWrap w:val="0"/>
            <w:vAlign w:val="center"/>
          </w:tcPr>
          <w:p>
            <w:pPr>
              <w:adjustRightInd w:val="0"/>
              <w:snapToGrid w:val="0"/>
              <w:spacing w:line="260" w:lineRule="exact"/>
              <w:jc w:val="center"/>
              <w:rPr>
                <w:rFonts w:hint="eastAsia"/>
                <w:kern w:val="0"/>
                <w:sz w:val="21"/>
                <w:szCs w:val="21"/>
              </w:rPr>
            </w:pPr>
            <w:r>
              <w:rPr>
                <w:rFonts w:hint="eastAsia"/>
                <w:kern w:val="0"/>
                <w:sz w:val="21"/>
                <w:szCs w:val="21"/>
              </w:rPr>
              <w:t>印发实施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jc w:val="center"/>
        </w:trPr>
        <w:tc>
          <w:tcPr>
            <w:tcW w:w="568" w:type="dxa"/>
            <w:noWrap w:val="0"/>
            <w:vAlign w:val="center"/>
          </w:tcPr>
          <w:p>
            <w:pPr>
              <w:adjustRightInd w:val="0"/>
              <w:snapToGrid w:val="0"/>
              <w:spacing w:line="260" w:lineRule="exact"/>
              <w:jc w:val="center"/>
              <w:rPr>
                <w:kern w:val="0"/>
                <w:sz w:val="21"/>
                <w:szCs w:val="21"/>
              </w:rPr>
            </w:pPr>
            <w:r>
              <w:rPr>
                <w:kern w:val="0"/>
                <w:sz w:val="21"/>
                <w:szCs w:val="21"/>
              </w:rPr>
              <w:t>2</w:t>
            </w:r>
          </w:p>
        </w:tc>
        <w:tc>
          <w:tcPr>
            <w:tcW w:w="615" w:type="dxa"/>
            <w:vMerge w:val="continue"/>
            <w:noWrap w:val="0"/>
            <w:vAlign w:val="center"/>
          </w:tcPr>
          <w:p>
            <w:pPr>
              <w:adjustRightInd w:val="0"/>
              <w:snapToGrid w:val="0"/>
              <w:spacing w:line="260" w:lineRule="exact"/>
              <w:jc w:val="center"/>
              <w:rPr>
                <w:kern w:val="0"/>
                <w:sz w:val="21"/>
                <w:szCs w:val="21"/>
              </w:rPr>
            </w:pPr>
          </w:p>
        </w:tc>
        <w:tc>
          <w:tcPr>
            <w:tcW w:w="2517" w:type="dxa"/>
            <w:noWrap w:val="0"/>
            <w:vAlign w:val="center"/>
          </w:tcPr>
          <w:p>
            <w:pPr>
              <w:adjustRightInd w:val="0"/>
              <w:spacing w:line="260" w:lineRule="exact"/>
              <w:jc w:val="left"/>
              <w:rPr>
                <w:sz w:val="21"/>
                <w:szCs w:val="21"/>
              </w:rPr>
            </w:pPr>
            <w:r>
              <w:rPr>
                <w:sz w:val="21"/>
                <w:szCs w:val="21"/>
              </w:rPr>
              <w:t>党委政府对生态文明建设重大目标任务部署情况</w:t>
            </w:r>
          </w:p>
        </w:tc>
        <w:tc>
          <w:tcPr>
            <w:tcW w:w="709" w:type="dxa"/>
            <w:noWrap w:val="0"/>
            <w:vAlign w:val="center"/>
          </w:tcPr>
          <w:p>
            <w:pPr>
              <w:adjustRightInd w:val="0"/>
              <w:spacing w:line="260" w:lineRule="exact"/>
              <w:jc w:val="center"/>
              <w:rPr>
                <w:sz w:val="21"/>
                <w:szCs w:val="21"/>
              </w:rPr>
            </w:pPr>
            <w:r>
              <w:rPr>
                <w:sz w:val="21"/>
                <w:szCs w:val="21"/>
              </w:rPr>
              <w:t>-</w:t>
            </w:r>
          </w:p>
        </w:tc>
        <w:tc>
          <w:tcPr>
            <w:tcW w:w="1276" w:type="dxa"/>
            <w:noWrap w:val="0"/>
            <w:vAlign w:val="center"/>
          </w:tcPr>
          <w:p>
            <w:pPr>
              <w:adjustRightInd w:val="0"/>
              <w:spacing w:line="260" w:lineRule="exact"/>
              <w:jc w:val="center"/>
              <w:rPr>
                <w:sz w:val="21"/>
                <w:szCs w:val="21"/>
              </w:rPr>
            </w:pPr>
            <w:r>
              <w:rPr>
                <w:sz w:val="21"/>
                <w:szCs w:val="21"/>
              </w:rPr>
              <w:t>开展</w:t>
            </w:r>
          </w:p>
        </w:tc>
        <w:tc>
          <w:tcPr>
            <w:tcW w:w="708" w:type="dxa"/>
            <w:noWrap w:val="0"/>
            <w:vAlign w:val="center"/>
          </w:tcPr>
          <w:p>
            <w:pPr>
              <w:adjustRightInd w:val="0"/>
              <w:snapToGrid w:val="0"/>
              <w:spacing w:line="260" w:lineRule="exact"/>
              <w:jc w:val="center"/>
              <w:rPr>
                <w:kern w:val="0"/>
                <w:sz w:val="21"/>
                <w:szCs w:val="21"/>
              </w:rPr>
            </w:pPr>
            <w:r>
              <w:rPr>
                <w:kern w:val="0"/>
                <w:sz w:val="21"/>
                <w:szCs w:val="21"/>
              </w:rPr>
              <w:t>3</w:t>
            </w:r>
          </w:p>
        </w:tc>
        <w:tc>
          <w:tcPr>
            <w:tcW w:w="993" w:type="dxa"/>
            <w:noWrap w:val="0"/>
            <w:vAlign w:val="center"/>
          </w:tcPr>
          <w:p>
            <w:pPr>
              <w:adjustRightInd w:val="0"/>
              <w:snapToGrid w:val="0"/>
              <w:spacing w:line="260" w:lineRule="exact"/>
              <w:jc w:val="center"/>
              <w:rPr>
                <w:kern w:val="0"/>
                <w:sz w:val="21"/>
                <w:szCs w:val="21"/>
              </w:rPr>
            </w:pPr>
            <w:r>
              <w:rPr>
                <w:rFonts w:hint="eastAsia"/>
                <w:kern w:val="0"/>
                <w:sz w:val="21"/>
                <w:szCs w:val="21"/>
              </w:rPr>
              <w:t>开展</w:t>
            </w:r>
          </w:p>
        </w:tc>
        <w:tc>
          <w:tcPr>
            <w:tcW w:w="708" w:type="dxa"/>
            <w:noWrap w:val="0"/>
            <w:vAlign w:val="center"/>
          </w:tcPr>
          <w:p>
            <w:pPr>
              <w:adjustRightInd w:val="0"/>
              <w:snapToGrid w:val="0"/>
              <w:spacing w:line="260" w:lineRule="exact"/>
              <w:jc w:val="center"/>
              <w:rPr>
                <w:kern w:val="0"/>
                <w:sz w:val="21"/>
                <w:szCs w:val="21"/>
              </w:rPr>
            </w:pPr>
            <w:r>
              <w:rPr>
                <w:rFonts w:hint="eastAsia"/>
                <w:kern w:val="0"/>
                <w:sz w:val="21"/>
                <w:szCs w:val="21"/>
              </w:rPr>
              <w:t>3</w:t>
            </w:r>
          </w:p>
        </w:tc>
        <w:tc>
          <w:tcPr>
            <w:tcW w:w="1061" w:type="dxa"/>
            <w:noWrap w:val="0"/>
            <w:vAlign w:val="center"/>
          </w:tcPr>
          <w:p>
            <w:pPr>
              <w:adjustRightInd w:val="0"/>
              <w:snapToGrid w:val="0"/>
              <w:spacing w:line="260" w:lineRule="exact"/>
              <w:jc w:val="center"/>
              <w:rPr>
                <w:rFonts w:hint="eastAsia"/>
                <w:kern w:val="0"/>
                <w:sz w:val="21"/>
                <w:szCs w:val="21"/>
              </w:rPr>
            </w:pPr>
            <w:r>
              <w:rPr>
                <w:rFonts w:hint="eastAsia"/>
                <w:kern w:val="0"/>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jc w:val="center"/>
        </w:trPr>
        <w:tc>
          <w:tcPr>
            <w:tcW w:w="568" w:type="dxa"/>
            <w:noWrap w:val="0"/>
            <w:vAlign w:val="center"/>
          </w:tcPr>
          <w:p>
            <w:pPr>
              <w:adjustRightInd w:val="0"/>
              <w:snapToGrid w:val="0"/>
              <w:spacing w:line="260" w:lineRule="exact"/>
              <w:jc w:val="center"/>
              <w:rPr>
                <w:kern w:val="0"/>
                <w:sz w:val="21"/>
                <w:szCs w:val="21"/>
              </w:rPr>
            </w:pPr>
            <w:r>
              <w:rPr>
                <w:kern w:val="0"/>
                <w:sz w:val="21"/>
                <w:szCs w:val="21"/>
              </w:rPr>
              <w:t>3</w:t>
            </w:r>
          </w:p>
        </w:tc>
        <w:tc>
          <w:tcPr>
            <w:tcW w:w="615" w:type="dxa"/>
            <w:vMerge w:val="continue"/>
            <w:noWrap w:val="0"/>
            <w:vAlign w:val="center"/>
          </w:tcPr>
          <w:p>
            <w:pPr>
              <w:adjustRightInd w:val="0"/>
              <w:snapToGrid w:val="0"/>
              <w:spacing w:line="260" w:lineRule="exact"/>
              <w:jc w:val="center"/>
              <w:rPr>
                <w:kern w:val="0"/>
                <w:sz w:val="21"/>
                <w:szCs w:val="21"/>
              </w:rPr>
            </w:pPr>
          </w:p>
        </w:tc>
        <w:tc>
          <w:tcPr>
            <w:tcW w:w="2517" w:type="dxa"/>
            <w:noWrap w:val="0"/>
            <w:vAlign w:val="center"/>
          </w:tcPr>
          <w:p>
            <w:pPr>
              <w:adjustRightInd w:val="0"/>
              <w:spacing w:line="260" w:lineRule="exact"/>
              <w:jc w:val="left"/>
              <w:rPr>
                <w:sz w:val="21"/>
                <w:szCs w:val="21"/>
              </w:rPr>
            </w:pPr>
            <w:r>
              <w:rPr>
                <w:sz w:val="21"/>
                <w:szCs w:val="21"/>
              </w:rPr>
              <w:t>河长制</w:t>
            </w:r>
          </w:p>
        </w:tc>
        <w:tc>
          <w:tcPr>
            <w:tcW w:w="709" w:type="dxa"/>
            <w:noWrap w:val="0"/>
            <w:vAlign w:val="center"/>
          </w:tcPr>
          <w:p>
            <w:pPr>
              <w:adjustRightInd w:val="0"/>
              <w:spacing w:line="260" w:lineRule="exact"/>
              <w:jc w:val="center"/>
              <w:rPr>
                <w:sz w:val="21"/>
                <w:szCs w:val="21"/>
              </w:rPr>
            </w:pPr>
            <w:r>
              <w:rPr>
                <w:sz w:val="21"/>
                <w:szCs w:val="21"/>
              </w:rPr>
              <w:t>-</w:t>
            </w:r>
          </w:p>
        </w:tc>
        <w:tc>
          <w:tcPr>
            <w:tcW w:w="1276" w:type="dxa"/>
            <w:noWrap w:val="0"/>
            <w:vAlign w:val="center"/>
          </w:tcPr>
          <w:p>
            <w:pPr>
              <w:adjustRightInd w:val="0"/>
              <w:spacing w:line="260" w:lineRule="exact"/>
              <w:jc w:val="center"/>
              <w:rPr>
                <w:sz w:val="21"/>
                <w:szCs w:val="21"/>
              </w:rPr>
            </w:pPr>
            <w:r>
              <w:rPr>
                <w:sz w:val="21"/>
                <w:szCs w:val="21"/>
              </w:rPr>
              <w:t>全面实施</w:t>
            </w:r>
          </w:p>
        </w:tc>
        <w:tc>
          <w:tcPr>
            <w:tcW w:w="708" w:type="dxa"/>
            <w:noWrap w:val="0"/>
            <w:vAlign w:val="center"/>
          </w:tcPr>
          <w:p>
            <w:pPr>
              <w:adjustRightInd w:val="0"/>
              <w:snapToGrid w:val="0"/>
              <w:spacing w:line="260" w:lineRule="exact"/>
              <w:jc w:val="center"/>
              <w:rPr>
                <w:kern w:val="0"/>
                <w:sz w:val="21"/>
                <w:szCs w:val="21"/>
              </w:rPr>
            </w:pPr>
            <w:r>
              <w:rPr>
                <w:kern w:val="0"/>
                <w:sz w:val="21"/>
                <w:szCs w:val="21"/>
              </w:rPr>
              <w:t>3</w:t>
            </w:r>
          </w:p>
        </w:tc>
        <w:tc>
          <w:tcPr>
            <w:tcW w:w="993" w:type="dxa"/>
            <w:noWrap w:val="0"/>
            <w:vAlign w:val="center"/>
          </w:tcPr>
          <w:p>
            <w:pPr>
              <w:adjustRightInd w:val="0"/>
              <w:snapToGrid w:val="0"/>
              <w:spacing w:line="260" w:lineRule="exact"/>
              <w:jc w:val="center"/>
              <w:rPr>
                <w:kern w:val="0"/>
                <w:sz w:val="21"/>
                <w:szCs w:val="21"/>
              </w:rPr>
            </w:pPr>
            <w:r>
              <w:rPr>
                <w:rFonts w:hint="eastAsia"/>
                <w:kern w:val="0"/>
                <w:sz w:val="21"/>
                <w:szCs w:val="21"/>
              </w:rPr>
              <w:t>全面实施</w:t>
            </w:r>
          </w:p>
        </w:tc>
        <w:tc>
          <w:tcPr>
            <w:tcW w:w="708" w:type="dxa"/>
            <w:noWrap w:val="0"/>
            <w:vAlign w:val="center"/>
          </w:tcPr>
          <w:p>
            <w:pPr>
              <w:adjustRightInd w:val="0"/>
              <w:snapToGrid w:val="0"/>
              <w:spacing w:line="260" w:lineRule="exact"/>
              <w:jc w:val="center"/>
              <w:rPr>
                <w:kern w:val="0"/>
                <w:sz w:val="21"/>
                <w:szCs w:val="21"/>
              </w:rPr>
            </w:pPr>
            <w:r>
              <w:rPr>
                <w:rFonts w:hint="eastAsia"/>
                <w:kern w:val="0"/>
                <w:sz w:val="21"/>
                <w:szCs w:val="21"/>
              </w:rPr>
              <w:t>3</w:t>
            </w:r>
          </w:p>
        </w:tc>
        <w:tc>
          <w:tcPr>
            <w:tcW w:w="1061" w:type="dxa"/>
            <w:noWrap w:val="0"/>
            <w:vAlign w:val="center"/>
          </w:tcPr>
          <w:p>
            <w:pPr>
              <w:adjustRightInd w:val="0"/>
              <w:snapToGrid w:val="0"/>
              <w:spacing w:line="260" w:lineRule="exact"/>
              <w:jc w:val="center"/>
              <w:rPr>
                <w:rFonts w:hint="eastAsia"/>
                <w:kern w:val="0"/>
                <w:sz w:val="21"/>
                <w:szCs w:val="21"/>
              </w:rPr>
            </w:pPr>
            <w:r>
              <w:rPr>
                <w:rFonts w:hint="eastAsia"/>
                <w:kern w:val="0"/>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07"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4</w:t>
            </w:r>
          </w:p>
        </w:tc>
        <w:tc>
          <w:tcPr>
            <w:tcW w:w="615" w:type="dxa"/>
            <w:vMerge w:val="restart"/>
            <w:noWrap w:val="0"/>
            <w:vAlign w:val="center"/>
          </w:tcPr>
          <w:p>
            <w:pPr>
              <w:adjustRightInd w:val="0"/>
              <w:spacing w:line="260" w:lineRule="exact"/>
              <w:jc w:val="center"/>
              <w:rPr>
                <w:sz w:val="21"/>
                <w:szCs w:val="21"/>
              </w:rPr>
            </w:pPr>
            <w:r>
              <w:rPr>
                <w:sz w:val="21"/>
                <w:szCs w:val="21"/>
              </w:rPr>
              <w:t>生态</w:t>
            </w:r>
          </w:p>
          <w:p>
            <w:pPr>
              <w:adjustRightInd w:val="0"/>
              <w:spacing w:line="260" w:lineRule="exact"/>
              <w:jc w:val="center"/>
              <w:rPr>
                <w:sz w:val="21"/>
                <w:szCs w:val="21"/>
              </w:rPr>
            </w:pPr>
            <w:r>
              <w:rPr>
                <w:sz w:val="21"/>
                <w:szCs w:val="21"/>
              </w:rPr>
              <w:t>经济</w:t>
            </w:r>
          </w:p>
        </w:tc>
        <w:tc>
          <w:tcPr>
            <w:tcW w:w="2517" w:type="dxa"/>
            <w:vMerge w:val="restart"/>
            <w:noWrap w:val="0"/>
            <w:vAlign w:val="center"/>
          </w:tcPr>
          <w:p>
            <w:pPr>
              <w:adjustRightInd w:val="0"/>
              <w:spacing w:line="260" w:lineRule="exact"/>
              <w:jc w:val="left"/>
              <w:rPr>
                <w:sz w:val="21"/>
                <w:szCs w:val="21"/>
              </w:rPr>
            </w:pPr>
            <w:r>
              <w:rPr>
                <w:sz w:val="21"/>
                <w:szCs w:val="21"/>
              </w:rPr>
              <w:t>“两品一标”农产品总产量占比</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≥20</w:t>
            </w:r>
          </w:p>
        </w:tc>
        <w:tc>
          <w:tcPr>
            <w:tcW w:w="708" w:type="dxa"/>
            <w:noWrap w:val="0"/>
            <w:vAlign w:val="center"/>
          </w:tcPr>
          <w:p>
            <w:pPr>
              <w:adjustRightInd w:val="0"/>
              <w:spacing w:line="260" w:lineRule="exact"/>
              <w:jc w:val="center"/>
              <w:rPr>
                <w:sz w:val="21"/>
                <w:szCs w:val="21"/>
                <w:lang w:bidi="ar"/>
              </w:rPr>
            </w:pPr>
            <w:r>
              <w:rPr>
                <w:sz w:val="21"/>
                <w:szCs w:val="21"/>
                <w:lang w:bidi="ar"/>
              </w:rPr>
              <w:t>4</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w:t>
            </w:r>
          </w:p>
        </w:tc>
        <w:tc>
          <w:tcPr>
            <w:tcW w:w="708" w:type="dxa"/>
            <w:vMerge w:val="restart"/>
            <w:noWrap w:val="0"/>
            <w:vAlign w:val="center"/>
          </w:tcPr>
          <w:p>
            <w:pPr>
              <w:adjustRightInd w:val="0"/>
              <w:spacing w:line="260" w:lineRule="exact"/>
              <w:jc w:val="center"/>
              <w:rPr>
                <w:rFonts w:hint="eastAsia"/>
                <w:sz w:val="21"/>
                <w:szCs w:val="21"/>
                <w:lang w:bidi="ar"/>
              </w:rPr>
            </w:pPr>
            <w:r>
              <w:rPr>
                <w:sz w:val="21"/>
                <w:szCs w:val="21"/>
                <w:lang w:bidi="ar"/>
              </w:rPr>
              <w:t>0</w:t>
            </w:r>
          </w:p>
        </w:tc>
        <w:tc>
          <w:tcPr>
            <w:tcW w:w="1061" w:type="dxa"/>
            <w:vMerge w:val="restart"/>
            <w:noWrap w:val="0"/>
            <w:vAlign w:val="center"/>
          </w:tcPr>
          <w:p>
            <w:pPr>
              <w:adjustRightInd w:val="0"/>
              <w:spacing w:line="260" w:lineRule="exact"/>
              <w:jc w:val="center"/>
              <w:rPr>
                <w:sz w:val="21"/>
                <w:szCs w:val="21"/>
                <w:lang w:bidi="ar"/>
              </w:rPr>
            </w:pPr>
            <w:r>
              <w:rPr>
                <w:rFonts w:hint="eastAsia"/>
                <w:sz w:val="21"/>
                <w:szCs w:val="21"/>
              </w:rPr>
              <w:t>≥</w:t>
            </w:r>
            <w:r>
              <w:rPr>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80"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20＞A≥10</w:t>
            </w:r>
          </w:p>
        </w:tc>
        <w:tc>
          <w:tcPr>
            <w:tcW w:w="708" w:type="dxa"/>
            <w:noWrap w:val="0"/>
            <w:vAlign w:val="center"/>
          </w:tcPr>
          <w:p>
            <w:pPr>
              <w:adjustRightInd w:val="0"/>
              <w:spacing w:line="260" w:lineRule="exact"/>
              <w:jc w:val="center"/>
              <w:rPr>
                <w:sz w:val="21"/>
                <w:szCs w:val="21"/>
                <w:lang w:bidi="ar"/>
              </w:rPr>
            </w:pPr>
            <w:r>
              <w:rPr>
                <w:sz w:val="21"/>
                <w:szCs w:val="21"/>
                <w:lang w:bidi="ar"/>
              </w:rPr>
              <w:t>2</w:t>
            </w:r>
          </w:p>
        </w:tc>
        <w:tc>
          <w:tcPr>
            <w:tcW w:w="993" w:type="dxa"/>
            <w:noWrap w:val="0"/>
            <w:vAlign w:val="center"/>
          </w:tcPr>
          <w:p>
            <w:pPr>
              <w:adjustRightInd w:val="0"/>
              <w:spacing w:line="260" w:lineRule="exact"/>
              <w:jc w:val="center"/>
              <w:rPr>
                <w:sz w:val="21"/>
                <w:szCs w:val="21"/>
                <w:lang w:bidi="ar"/>
              </w:rPr>
            </w:pPr>
            <w:r>
              <w:rPr>
                <w:sz w:val="21"/>
                <w:szCs w:val="21"/>
                <w:lang w:bidi="ar"/>
              </w:rPr>
              <w:t>1.7</w:t>
            </w:r>
          </w:p>
        </w:tc>
        <w:tc>
          <w:tcPr>
            <w:tcW w:w="708" w:type="dxa"/>
            <w:vMerge w:val="continue"/>
            <w:noWrap w:val="0"/>
            <w:vAlign w:val="center"/>
          </w:tcPr>
          <w:p>
            <w:pPr>
              <w:adjustRightInd w:val="0"/>
              <w:spacing w:line="260" w:lineRule="exact"/>
              <w:jc w:val="center"/>
              <w:rPr>
                <w:sz w:val="21"/>
                <w:szCs w:val="21"/>
                <w:lang w:bidi="ar"/>
              </w:rPr>
            </w:pPr>
          </w:p>
        </w:tc>
        <w:tc>
          <w:tcPr>
            <w:tcW w:w="1061" w:type="dxa"/>
            <w:vMerge w:val="continue"/>
            <w:noWrap w:val="0"/>
            <w:vAlign w:val="center"/>
          </w:tcPr>
          <w:p>
            <w:pPr>
              <w:adjustRightInd w:val="0"/>
              <w:spacing w:line="260" w:lineRule="exact"/>
              <w:jc w:val="center"/>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48"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5</w:t>
            </w:r>
          </w:p>
        </w:tc>
        <w:tc>
          <w:tcPr>
            <w:tcW w:w="615" w:type="dxa"/>
            <w:vMerge w:val="continue"/>
            <w:noWrap w:val="0"/>
            <w:vAlign w:val="center"/>
          </w:tcPr>
          <w:p>
            <w:pPr>
              <w:adjustRightInd w:val="0"/>
              <w:spacing w:line="260" w:lineRule="exact"/>
              <w:jc w:val="center"/>
              <w:rPr>
                <w:sz w:val="21"/>
                <w:szCs w:val="21"/>
              </w:rPr>
            </w:pPr>
          </w:p>
        </w:tc>
        <w:tc>
          <w:tcPr>
            <w:tcW w:w="2517" w:type="dxa"/>
            <w:vMerge w:val="restart"/>
            <w:noWrap w:val="0"/>
            <w:vAlign w:val="center"/>
          </w:tcPr>
          <w:p>
            <w:pPr>
              <w:adjustRightInd w:val="0"/>
              <w:spacing w:line="260" w:lineRule="exact"/>
              <w:jc w:val="left"/>
              <w:rPr>
                <w:sz w:val="21"/>
                <w:szCs w:val="21"/>
              </w:rPr>
            </w:pPr>
            <w:r>
              <w:rPr>
                <w:sz w:val="21"/>
                <w:szCs w:val="21"/>
              </w:rPr>
              <w:t>农用化肥、</w:t>
            </w:r>
            <w:r>
              <w:rPr>
                <w:color w:val="auto"/>
                <w:sz w:val="21"/>
                <w:szCs w:val="21"/>
              </w:rPr>
              <w:t>农药施用</w:t>
            </w:r>
            <w:r>
              <w:rPr>
                <w:sz w:val="21"/>
                <w:szCs w:val="21"/>
              </w:rPr>
              <w:t>强度</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逐年降低</w:t>
            </w:r>
          </w:p>
        </w:tc>
        <w:tc>
          <w:tcPr>
            <w:tcW w:w="708" w:type="dxa"/>
            <w:noWrap w:val="0"/>
            <w:vAlign w:val="center"/>
          </w:tcPr>
          <w:p>
            <w:pPr>
              <w:adjustRightInd w:val="0"/>
              <w:spacing w:line="260" w:lineRule="exact"/>
              <w:jc w:val="center"/>
              <w:rPr>
                <w:sz w:val="21"/>
                <w:szCs w:val="21"/>
              </w:rPr>
            </w:pPr>
            <w:r>
              <w:rPr>
                <w:sz w:val="21"/>
                <w:szCs w:val="21"/>
              </w:rPr>
              <w:t>3</w:t>
            </w:r>
          </w:p>
        </w:tc>
        <w:tc>
          <w:tcPr>
            <w:tcW w:w="993" w:type="dxa"/>
            <w:noWrap w:val="0"/>
            <w:vAlign w:val="center"/>
          </w:tcPr>
          <w:p>
            <w:pPr>
              <w:adjustRightInd w:val="0"/>
              <w:spacing w:line="260" w:lineRule="exact"/>
              <w:jc w:val="center"/>
              <w:rPr>
                <w:sz w:val="21"/>
                <w:szCs w:val="21"/>
              </w:rPr>
            </w:pPr>
            <w:r>
              <w:rPr>
                <w:rFonts w:hint="eastAsia"/>
                <w:sz w:val="21"/>
                <w:szCs w:val="21"/>
              </w:rPr>
              <w:t>逐年降低</w:t>
            </w:r>
          </w:p>
        </w:tc>
        <w:tc>
          <w:tcPr>
            <w:tcW w:w="708" w:type="dxa"/>
            <w:vMerge w:val="restart"/>
            <w:noWrap w:val="0"/>
            <w:vAlign w:val="center"/>
          </w:tcPr>
          <w:p>
            <w:pPr>
              <w:adjustRightInd w:val="0"/>
              <w:spacing w:line="260" w:lineRule="exact"/>
              <w:jc w:val="center"/>
              <w:rPr>
                <w:sz w:val="21"/>
                <w:szCs w:val="21"/>
              </w:rPr>
            </w:pPr>
            <w:r>
              <w:rPr>
                <w:rFonts w:hint="eastAsia"/>
                <w:sz w:val="21"/>
                <w:szCs w:val="21"/>
              </w:rPr>
              <w:t>3</w:t>
            </w:r>
          </w:p>
        </w:tc>
        <w:tc>
          <w:tcPr>
            <w:tcW w:w="1061" w:type="dxa"/>
            <w:vMerge w:val="restart"/>
            <w:noWrap w:val="0"/>
            <w:vAlign w:val="center"/>
          </w:tcPr>
          <w:p>
            <w:pPr>
              <w:adjustRightInd w:val="0"/>
              <w:spacing w:line="260" w:lineRule="exact"/>
              <w:jc w:val="center"/>
              <w:rPr>
                <w:sz w:val="21"/>
                <w:szCs w:val="21"/>
              </w:rPr>
            </w:pPr>
            <w:r>
              <w:rPr>
                <w:rFonts w:hint="eastAsia"/>
                <w:sz w:val="21"/>
                <w:szCs w:val="21"/>
              </w:rPr>
              <w:t>逐年降低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38"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零增长</w:t>
            </w:r>
          </w:p>
        </w:tc>
        <w:tc>
          <w:tcPr>
            <w:tcW w:w="708" w:type="dxa"/>
            <w:noWrap w:val="0"/>
            <w:vAlign w:val="center"/>
          </w:tcPr>
          <w:p>
            <w:pPr>
              <w:adjustRightInd w:val="0"/>
              <w:spacing w:line="260" w:lineRule="exact"/>
              <w:jc w:val="center"/>
              <w:rPr>
                <w:sz w:val="21"/>
                <w:szCs w:val="21"/>
              </w:rPr>
            </w:pPr>
            <w:r>
              <w:rPr>
                <w:sz w:val="21"/>
                <w:szCs w:val="21"/>
              </w:rPr>
              <w:t>1</w:t>
            </w:r>
          </w:p>
        </w:tc>
        <w:tc>
          <w:tcPr>
            <w:tcW w:w="993" w:type="dxa"/>
            <w:noWrap w:val="0"/>
            <w:vAlign w:val="center"/>
          </w:tcPr>
          <w:p>
            <w:pPr>
              <w:adjustRightInd w:val="0"/>
              <w:spacing w:line="260" w:lineRule="exact"/>
              <w:jc w:val="center"/>
              <w:rPr>
                <w:sz w:val="21"/>
                <w:szCs w:val="21"/>
              </w:rPr>
            </w:pPr>
            <w:r>
              <w:rPr>
                <w:rFonts w:hint="eastAsia"/>
                <w:sz w:val="21"/>
                <w:szCs w:val="21"/>
              </w:rPr>
              <w:t>/</w:t>
            </w:r>
          </w:p>
        </w:tc>
        <w:tc>
          <w:tcPr>
            <w:tcW w:w="708" w:type="dxa"/>
            <w:vMerge w:val="continue"/>
            <w:noWrap w:val="0"/>
            <w:vAlign w:val="center"/>
          </w:tcPr>
          <w:p>
            <w:pPr>
              <w:adjustRightInd w:val="0"/>
              <w:spacing w:line="260" w:lineRule="exact"/>
              <w:jc w:val="center"/>
              <w:rPr>
                <w:sz w:val="21"/>
                <w:szCs w:val="21"/>
              </w:rPr>
            </w:pPr>
          </w:p>
        </w:tc>
        <w:tc>
          <w:tcPr>
            <w:tcW w:w="1061" w:type="dxa"/>
            <w:vMerge w:val="continue"/>
            <w:noWrap w:val="0"/>
            <w:vAlign w:val="center"/>
          </w:tcPr>
          <w:p>
            <w:pPr>
              <w:adjustRightIn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94"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6</w:t>
            </w:r>
          </w:p>
        </w:tc>
        <w:tc>
          <w:tcPr>
            <w:tcW w:w="615" w:type="dxa"/>
            <w:vMerge w:val="continue"/>
            <w:noWrap w:val="0"/>
            <w:vAlign w:val="center"/>
          </w:tcPr>
          <w:p>
            <w:pPr>
              <w:adjustRightInd w:val="0"/>
              <w:spacing w:line="260" w:lineRule="exact"/>
              <w:jc w:val="center"/>
              <w:rPr>
                <w:sz w:val="21"/>
                <w:szCs w:val="21"/>
              </w:rPr>
            </w:pPr>
          </w:p>
        </w:tc>
        <w:tc>
          <w:tcPr>
            <w:tcW w:w="2517" w:type="dxa"/>
            <w:vMerge w:val="restart"/>
            <w:noWrap w:val="0"/>
            <w:vAlign w:val="center"/>
          </w:tcPr>
          <w:p>
            <w:pPr>
              <w:adjustRightInd w:val="0"/>
              <w:spacing w:line="260" w:lineRule="exact"/>
              <w:jc w:val="left"/>
              <w:rPr>
                <w:sz w:val="21"/>
                <w:szCs w:val="21"/>
              </w:rPr>
            </w:pPr>
            <w:r>
              <w:rPr>
                <w:sz w:val="21"/>
                <w:szCs w:val="21"/>
              </w:rPr>
              <w:t>农作物秸秆综合利用率</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≥85</w:t>
            </w:r>
          </w:p>
        </w:tc>
        <w:tc>
          <w:tcPr>
            <w:tcW w:w="708" w:type="dxa"/>
            <w:noWrap w:val="0"/>
            <w:vAlign w:val="center"/>
          </w:tcPr>
          <w:p>
            <w:pPr>
              <w:adjustRightInd w:val="0"/>
              <w:spacing w:line="260" w:lineRule="exact"/>
              <w:jc w:val="center"/>
              <w:rPr>
                <w:sz w:val="21"/>
                <w:szCs w:val="21"/>
              </w:rPr>
            </w:pPr>
            <w:r>
              <w:rPr>
                <w:sz w:val="21"/>
                <w:szCs w:val="21"/>
              </w:rPr>
              <w:t>4</w:t>
            </w:r>
          </w:p>
        </w:tc>
        <w:tc>
          <w:tcPr>
            <w:tcW w:w="993" w:type="dxa"/>
            <w:noWrap w:val="0"/>
            <w:vAlign w:val="center"/>
          </w:tcPr>
          <w:p>
            <w:pPr>
              <w:adjustRightInd w:val="0"/>
              <w:spacing w:line="260" w:lineRule="exact"/>
              <w:jc w:val="center"/>
              <w:rPr>
                <w:sz w:val="21"/>
                <w:szCs w:val="21"/>
              </w:rPr>
            </w:pPr>
            <w:r>
              <w:rPr>
                <w:rFonts w:hint="eastAsia"/>
                <w:sz w:val="21"/>
                <w:szCs w:val="21"/>
              </w:rPr>
              <w:t>85</w:t>
            </w:r>
          </w:p>
        </w:tc>
        <w:tc>
          <w:tcPr>
            <w:tcW w:w="708" w:type="dxa"/>
            <w:vMerge w:val="restart"/>
            <w:noWrap w:val="0"/>
            <w:vAlign w:val="center"/>
          </w:tcPr>
          <w:p>
            <w:pPr>
              <w:adjustRightInd w:val="0"/>
              <w:spacing w:line="260" w:lineRule="exact"/>
              <w:jc w:val="center"/>
              <w:rPr>
                <w:sz w:val="21"/>
                <w:szCs w:val="21"/>
              </w:rPr>
            </w:pPr>
            <w:r>
              <w:rPr>
                <w:rFonts w:hint="eastAsia"/>
                <w:sz w:val="21"/>
                <w:szCs w:val="21"/>
              </w:rPr>
              <w:t>4</w:t>
            </w:r>
          </w:p>
        </w:tc>
        <w:tc>
          <w:tcPr>
            <w:tcW w:w="1061" w:type="dxa"/>
            <w:vMerge w:val="restart"/>
            <w:noWrap w:val="0"/>
            <w:vAlign w:val="center"/>
          </w:tcPr>
          <w:p>
            <w:pPr>
              <w:adjustRightInd w:val="0"/>
              <w:spacing w:line="260" w:lineRule="exact"/>
              <w:jc w:val="center"/>
              <w:rPr>
                <w:sz w:val="21"/>
                <w:szCs w:val="21"/>
              </w:rPr>
            </w:pPr>
            <w:r>
              <w:rPr>
                <w:rFonts w:hint="eastAsia"/>
                <w:sz w:val="21"/>
                <w:szCs w:val="21"/>
              </w:rPr>
              <w:t>≥9</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55"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85＞A≥80</w:t>
            </w:r>
          </w:p>
        </w:tc>
        <w:tc>
          <w:tcPr>
            <w:tcW w:w="708" w:type="dxa"/>
            <w:noWrap w:val="0"/>
            <w:vAlign w:val="center"/>
          </w:tcPr>
          <w:p>
            <w:pPr>
              <w:adjustRightInd w:val="0"/>
              <w:spacing w:line="260" w:lineRule="exact"/>
              <w:jc w:val="center"/>
              <w:rPr>
                <w:sz w:val="21"/>
                <w:szCs w:val="21"/>
              </w:rPr>
            </w:pPr>
            <w:r>
              <w:rPr>
                <w:sz w:val="21"/>
                <w:szCs w:val="21"/>
              </w:rPr>
              <w:t>2</w:t>
            </w:r>
          </w:p>
        </w:tc>
        <w:tc>
          <w:tcPr>
            <w:tcW w:w="993" w:type="dxa"/>
            <w:noWrap w:val="0"/>
            <w:vAlign w:val="center"/>
          </w:tcPr>
          <w:p>
            <w:pPr>
              <w:adjustRightInd w:val="0"/>
              <w:spacing w:line="260" w:lineRule="exact"/>
              <w:jc w:val="center"/>
              <w:rPr>
                <w:sz w:val="21"/>
                <w:szCs w:val="21"/>
              </w:rPr>
            </w:pPr>
            <w:r>
              <w:rPr>
                <w:rFonts w:hint="eastAsia"/>
                <w:sz w:val="21"/>
                <w:szCs w:val="21"/>
              </w:rPr>
              <w:t>/</w:t>
            </w:r>
          </w:p>
        </w:tc>
        <w:tc>
          <w:tcPr>
            <w:tcW w:w="708" w:type="dxa"/>
            <w:vMerge w:val="continue"/>
            <w:noWrap w:val="0"/>
            <w:vAlign w:val="center"/>
          </w:tcPr>
          <w:p>
            <w:pPr>
              <w:adjustRightInd w:val="0"/>
              <w:spacing w:line="260" w:lineRule="exact"/>
              <w:jc w:val="center"/>
              <w:rPr>
                <w:sz w:val="21"/>
                <w:szCs w:val="21"/>
              </w:rPr>
            </w:pPr>
          </w:p>
        </w:tc>
        <w:tc>
          <w:tcPr>
            <w:tcW w:w="1061" w:type="dxa"/>
            <w:vMerge w:val="continue"/>
            <w:noWrap w:val="0"/>
            <w:vAlign w:val="center"/>
          </w:tcPr>
          <w:p>
            <w:pPr>
              <w:adjustRightIn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34"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7</w:t>
            </w:r>
          </w:p>
        </w:tc>
        <w:tc>
          <w:tcPr>
            <w:tcW w:w="615" w:type="dxa"/>
            <w:vMerge w:val="continue"/>
            <w:noWrap w:val="0"/>
            <w:vAlign w:val="center"/>
          </w:tcPr>
          <w:p>
            <w:pPr>
              <w:adjustRightInd w:val="0"/>
              <w:spacing w:line="260" w:lineRule="exact"/>
              <w:jc w:val="center"/>
              <w:rPr>
                <w:sz w:val="21"/>
                <w:szCs w:val="21"/>
              </w:rPr>
            </w:pPr>
          </w:p>
        </w:tc>
        <w:tc>
          <w:tcPr>
            <w:tcW w:w="2517" w:type="dxa"/>
            <w:vMerge w:val="restart"/>
            <w:noWrap w:val="0"/>
            <w:vAlign w:val="center"/>
          </w:tcPr>
          <w:p>
            <w:pPr>
              <w:adjustRightInd w:val="0"/>
              <w:spacing w:line="260" w:lineRule="exact"/>
              <w:jc w:val="left"/>
              <w:rPr>
                <w:sz w:val="21"/>
                <w:szCs w:val="21"/>
              </w:rPr>
            </w:pPr>
            <w:r>
              <w:rPr>
                <w:sz w:val="21"/>
                <w:szCs w:val="21"/>
              </w:rPr>
              <w:t>农膜回收率</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≥75</w:t>
            </w:r>
          </w:p>
        </w:tc>
        <w:tc>
          <w:tcPr>
            <w:tcW w:w="708" w:type="dxa"/>
            <w:noWrap w:val="0"/>
            <w:vAlign w:val="center"/>
          </w:tcPr>
          <w:p>
            <w:pPr>
              <w:adjustRightInd w:val="0"/>
              <w:spacing w:line="260" w:lineRule="exact"/>
              <w:jc w:val="center"/>
              <w:rPr>
                <w:sz w:val="21"/>
                <w:szCs w:val="21"/>
              </w:rPr>
            </w:pPr>
            <w:r>
              <w:rPr>
                <w:sz w:val="21"/>
                <w:szCs w:val="21"/>
              </w:rPr>
              <w:t>3</w:t>
            </w:r>
          </w:p>
        </w:tc>
        <w:tc>
          <w:tcPr>
            <w:tcW w:w="993" w:type="dxa"/>
            <w:noWrap w:val="0"/>
            <w:vAlign w:val="center"/>
          </w:tcPr>
          <w:p>
            <w:pPr>
              <w:adjustRightInd w:val="0"/>
              <w:spacing w:line="260" w:lineRule="exact"/>
              <w:jc w:val="center"/>
              <w:rPr>
                <w:sz w:val="21"/>
                <w:szCs w:val="21"/>
              </w:rPr>
            </w:pPr>
            <w:r>
              <w:rPr>
                <w:rFonts w:hint="eastAsia"/>
                <w:sz w:val="21"/>
                <w:szCs w:val="21"/>
              </w:rPr>
              <w:t>100</w:t>
            </w:r>
          </w:p>
        </w:tc>
        <w:tc>
          <w:tcPr>
            <w:tcW w:w="708" w:type="dxa"/>
            <w:vMerge w:val="restart"/>
            <w:noWrap w:val="0"/>
            <w:vAlign w:val="center"/>
          </w:tcPr>
          <w:p>
            <w:pPr>
              <w:adjustRightInd w:val="0"/>
              <w:spacing w:line="260" w:lineRule="exact"/>
              <w:jc w:val="center"/>
              <w:rPr>
                <w:sz w:val="21"/>
                <w:szCs w:val="21"/>
              </w:rPr>
            </w:pPr>
            <w:r>
              <w:rPr>
                <w:rFonts w:hint="eastAsia"/>
                <w:sz w:val="21"/>
                <w:szCs w:val="21"/>
              </w:rPr>
              <w:t>3</w:t>
            </w:r>
          </w:p>
        </w:tc>
        <w:tc>
          <w:tcPr>
            <w:tcW w:w="1061" w:type="dxa"/>
            <w:vMerge w:val="restart"/>
            <w:noWrap w:val="0"/>
            <w:vAlign w:val="center"/>
          </w:tcPr>
          <w:p>
            <w:pPr>
              <w:adjustRightInd w:val="0"/>
              <w:spacing w:line="260" w:lineRule="exact"/>
              <w:jc w:val="center"/>
              <w:rPr>
                <w:sz w:val="21"/>
                <w:szCs w:val="21"/>
              </w:rPr>
            </w:pPr>
            <w:r>
              <w:rPr>
                <w:rFonts w:hint="eastAsia"/>
                <w:sz w:val="21"/>
                <w:szCs w:val="21"/>
              </w:rPr>
              <w:t>1</w:t>
            </w:r>
            <w:r>
              <w:rPr>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52"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75＞A≥70</w:t>
            </w:r>
          </w:p>
        </w:tc>
        <w:tc>
          <w:tcPr>
            <w:tcW w:w="708" w:type="dxa"/>
            <w:noWrap w:val="0"/>
            <w:vAlign w:val="center"/>
          </w:tcPr>
          <w:p>
            <w:pPr>
              <w:adjustRightInd w:val="0"/>
              <w:spacing w:line="260" w:lineRule="exact"/>
              <w:jc w:val="center"/>
              <w:rPr>
                <w:sz w:val="21"/>
                <w:szCs w:val="21"/>
              </w:rPr>
            </w:pPr>
            <w:r>
              <w:rPr>
                <w:sz w:val="21"/>
                <w:szCs w:val="21"/>
              </w:rPr>
              <w:t>1</w:t>
            </w:r>
          </w:p>
        </w:tc>
        <w:tc>
          <w:tcPr>
            <w:tcW w:w="993" w:type="dxa"/>
            <w:noWrap w:val="0"/>
            <w:vAlign w:val="center"/>
          </w:tcPr>
          <w:p>
            <w:pPr>
              <w:adjustRightInd w:val="0"/>
              <w:spacing w:line="260" w:lineRule="exact"/>
              <w:jc w:val="center"/>
              <w:rPr>
                <w:sz w:val="21"/>
                <w:szCs w:val="21"/>
              </w:rPr>
            </w:pPr>
            <w:r>
              <w:rPr>
                <w:rFonts w:hint="eastAsia"/>
                <w:sz w:val="21"/>
                <w:szCs w:val="21"/>
              </w:rPr>
              <w:t>/</w:t>
            </w:r>
          </w:p>
        </w:tc>
        <w:tc>
          <w:tcPr>
            <w:tcW w:w="708" w:type="dxa"/>
            <w:vMerge w:val="continue"/>
            <w:noWrap w:val="0"/>
            <w:vAlign w:val="center"/>
          </w:tcPr>
          <w:p>
            <w:pPr>
              <w:adjustRightInd w:val="0"/>
              <w:spacing w:line="260" w:lineRule="exact"/>
              <w:jc w:val="center"/>
              <w:rPr>
                <w:sz w:val="21"/>
                <w:szCs w:val="21"/>
              </w:rPr>
            </w:pPr>
          </w:p>
        </w:tc>
        <w:tc>
          <w:tcPr>
            <w:tcW w:w="1061" w:type="dxa"/>
            <w:vMerge w:val="continue"/>
            <w:noWrap w:val="0"/>
            <w:vAlign w:val="center"/>
          </w:tcPr>
          <w:p>
            <w:pPr>
              <w:adjustRightIn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80"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8</w:t>
            </w:r>
          </w:p>
        </w:tc>
        <w:tc>
          <w:tcPr>
            <w:tcW w:w="615" w:type="dxa"/>
            <w:vMerge w:val="continue"/>
            <w:noWrap w:val="0"/>
            <w:vAlign w:val="center"/>
          </w:tcPr>
          <w:p>
            <w:pPr>
              <w:adjustRightInd w:val="0"/>
              <w:spacing w:line="260" w:lineRule="exact"/>
              <w:jc w:val="center"/>
              <w:rPr>
                <w:sz w:val="21"/>
                <w:szCs w:val="21"/>
              </w:rPr>
            </w:pPr>
          </w:p>
        </w:tc>
        <w:tc>
          <w:tcPr>
            <w:tcW w:w="2517" w:type="dxa"/>
            <w:vMerge w:val="restart"/>
            <w:noWrap w:val="0"/>
            <w:vAlign w:val="center"/>
          </w:tcPr>
          <w:p>
            <w:pPr>
              <w:adjustRightInd w:val="0"/>
              <w:spacing w:line="260" w:lineRule="exact"/>
              <w:jc w:val="left"/>
              <w:rPr>
                <w:sz w:val="21"/>
                <w:szCs w:val="21"/>
              </w:rPr>
            </w:pPr>
            <w:r>
              <w:rPr>
                <w:sz w:val="21"/>
                <w:szCs w:val="21"/>
              </w:rPr>
              <w:t>畜禽粪污综合利用率</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≥70</w:t>
            </w:r>
          </w:p>
        </w:tc>
        <w:tc>
          <w:tcPr>
            <w:tcW w:w="708" w:type="dxa"/>
            <w:noWrap w:val="0"/>
            <w:vAlign w:val="center"/>
          </w:tcPr>
          <w:p>
            <w:pPr>
              <w:adjustRightInd w:val="0"/>
              <w:spacing w:line="260" w:lineRule="exact"/>
              <w:jc w:val="center"/>
              <w:rPr>
                <w:sz w:val="21"/>
                <w:szCs w:val="21"/>
              </w:rPr>
            </w:pPr>
            <w:r>
              <w:rPr>
                <w:sz w:val="21"/>
                <w:szCs w:val="21"/>
              </w:rPr>
              <w:t>3</w:t>
            </w:r>
          </w:p>
        </w:tc>
        <w:tc>
          <w:tcPr>
            <w:tcW w:w="993" w:type="dxa"/>
            <w:noWrap w:val="0"/>
            <w:vAlign w:val="center"/>
          </w:tcPr>
          <w:p>
            <w:pPr>
              <w:adjustRightInd w:val="0"/>
              <w:spacing w:line="260" w:lineRule="exact"/>
              <w:jc w:val="center"/>
              <w:rPr>
                <w:sz w:val="21"/>
                <w:szCs w:val="21"/>
              </w:rPr>
            </w:pPr>
            <w:r>
              <w:rPr>
                <w:rFonts w:hint="eastAsia"/>
                <w:sz w:val="21"/>
                <w:szCs w:val="21"/>
              </w:rPr>
              <w:t>84</w:t>
            </w:r>
          </w:p>
        </w:tc>
        <w:tc>
          <w:tcPr>
            <w:tcW w:w="708" w:type="dxa"/>
            <w:vMerge w:val="restart"/>
            <w:noWrap w:val="0"/>
            <w:vAlign w:val="center"/>
          </w:tcPr>
          <w:p>
            <w:pPr>
              <w:adjustRightInd w:val="0"/>
              <w:spacing w:line="260" w:lineRule="exact"/>
              <w:jc w:val="center"/>
              <w:rPr>
                <w:sz w:val="21"/>
                <w:szCs w:val="21"/>
              </w:rPr>
            </w:pPr>
            <w:r>
              <w:rPr>
                <w:rFonts w:hint="eastAsia"/>
                <w:sz w:val="21"/>
                <w:szCs w:val="21"/>
              </w:rPr>
              <w:t>3</w:t>
            </w:r>
          </w:p>
        </w:tc>
        <w:tc>
          <w:tcPr>
            <w:tcW w:w="1061" w:type="dxa"/>
            <w:vMerge w:val="restart"/>
            <w:noWrap w:val="0"/>
            <w:vAlign w:val="center"/>
          </w:tcPr>
          <w:p>
            <w:pPr>
              <w:adjustRightInd w:val="0"/>
              <w:spacing w:line="260" w:lineRule="exact"/>
              <w:jc w:val="center"/>
              <w:rPr>
                <w:sz w:val="21"/>
                <w:szCs w:val="21"/>
              </w:rPr>
            </w:pPr>
            <w:r>
              <w:rPr>
                <w:rFonts w:hint="eastAsia"/>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08"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70＞A≥65</w:t>
            </w:r>
          </w:p>
        </w:tc>
        <w:tc>
          <w:tcPr>
            <w:tcW w:w="708" w:type="dxa"/>
            <w:noWrap w:val="0"/>
            <w:vAlign w:val="center"/>
          </w:tcPr>
          <w:p>
            <w:pPr>
              <w:adjustRightInd w:val="0"/>
              <w:spacing w:line="260" w:lineRule="exact"/>
              <w:jc w:val="center"/>
              <w:rPr>
                <w:sz w:val="21"/>
                <w:szCs w:val="21"/>
              </w:rPr>
            </w:pPr>
            <w:r>
              <w:rPr>
                <w:sz w:val="21"/>
                <w:szCs w:val="21"/>
              </w:rPr>
              <w:t>1</w:t>
            </w:r>
          </w:p>
        </w:tc>
        <w:tc>
          <w:tcPr>
            <w:tcW w:w="993" w:type="dxa"/>
            <w:noWrap w:val="0"/>
            <w:vAlign w:val="center"/>
          </w:tcPr>
          <w:p>
            <w:pPr>
              <w:adjustRightInd w:val="0"/>
              <w:spacing w:line="260" w:lineRule="exact"/>
              <w:jc w:val="center"/>
              <w:rPr>
                <w:sz w:val="21"/>
                <w:szCs w:val="21"/>
              </w:rPr>
            </w:pPr>
            <w:r>
              <w:rPr>
                <w:rFonts w:hint="eastAsia"/>
                <w:sz w:val="21"/>
                <w:szCs w:val="21"/>
              </w:rPr>
              <w:t>/</w:t>
            </w:r>
          </w:p>
        </w:tc>
        <w:tc>
          <w:tcPr>
            <w:tcW w:w="708" w:type="dxa"/>
            <w:vMerge w:val="continue"/>
            <w:noWrap w:val="0"/>
            <w:vAlign w:val="center"/>
          </w:tcPr>
          <w:p>
            <w:pPr>
              <w:adjustRightInd w:val="0"/>
              <w:spacing w:line="260" w:lineRule="exact"/>
              <w:jc w:val="center"/>
              <w:rPr>
                <w:sz w:val="21"/>
                <w:szCs w:val="21"/>
              </w:rPr>
            </w:pPr>
          </w:p>
        </w:tc>
        <w:tc>
          <w:tcPr>
            <w:tcW w:w="1061" w:type="dxa"/>
            <w:vMerge w:val="continue"/>
            <w:noWrap w:val="0"/>
            <w:vAlign w:val="center"/>
          </w:tcPr>
          <w:p>
            <w:pPr>
              <w:adjustRightIn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77" w:hRule="atLeast"/>
          <w:jc w:val="center"/>
        </w:trPr>
        <w:tc>
          <w:tcPr>
            <w:tcW w:w="568" w:type="dxa"/>
            <w:noWrap w:val="0"/>
            <w:vAlign w:val="center"/>
          </w:tcPr>
          <w:p>
            <w:pPr>
              <w:adjustRightInd w:val="0"/>
              <w:spacing w:line="260" w:lineRule="exact"/>
              <w:jc w:val="center"/>
              <w:rPr>
                <w:sz w:val="21"/>
                <w:szCs w:val="21"/>
              </w:rPr>
            </w:pPr>
            <w:r>
              <w:rPr>
                <w:sz w:val="21"/>
                <w:szCs w:val="21"/>
              </w:rPr>
              <w:t>9</w:t>
            </w:r>
          </w:p>
        </w:tc>
        <w:tc>
          <w:tcPr>
            <w:tcW w:w="615" w:type="dxa"/>
            <w:vMerge w:val="restart"/>
            <w:noWrap w:val="0"/>
            <w:vAlign w:val="center"/>
          </w:tcPr>
          <w:p>
            <w:pPr>
              <w:adjustRightInd w:val="0"/>
              <w:spacing w:line="260" w:lineRule="exact"/>
              <w:jc w:val="center"/>
              <w:rPr>
                <w:sz w:val="21"/>
                <w:szCs w:val="21"/>
              </w:rPr>
            </w:pPr>
            <w:r>
              <w:rPr>
                <w:sz w:val="21"/>
                <w:szCs w:val="21"/>
              </w:rPr>
              <w:t>生态</w:t>
            </w:r>
          </w:p>
          <w:p>
            <w:pPr>
              <w:adjustRightInd w:val="0"/>
              <w:spacing w:line="260" w:lineRule="exact"/>
              <w:jc w:val="center"/>
              <w:rPr>
                <w:sz w:val="21"/>
                <w:szCs w:val="21"/>
              </w:rPr>
            </w:pPr>
            <w:r>
              <w:rPr>
                <w:sz w:val="21"/>
                <w:szCs w:val="21"/>
              </w:rPr>
              <w:t>环境</w:t>
            </w:r>
          </w:p>
        </w:tc>
        <w:tc>
          <w:tcPr>
            <w:tcW w:w="2517" w:type="dxa"/>
            <w:noWrap w:val="0"/>
            <w:vAlign w:val="center"/>
          </w:tcPr>
          <w:p>
            <w:pPr>
              <w:adjustRightInd w:val="0"/>
              <w:spacing w:line="260" w:lineRule="exact"/>
              <w:jc w:val="left"/>
              <w:rPr>
                <w:sz w:val="21"/>
                <w:szCs w:val="21"/>
              </w:rPr>
            </w:pPr>
            <w:r>
              <w:rPr>
                <w:sz w:val="21"/>
                <w:szCs w:val="21"/>
              </w:rPr>
              <w:t>露天秸秆、垃圾焚烧现象</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基本消除</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基本消除</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1061" w:type="dxa"/>
            <w:noWrap w:val="0"/>
            <w:vAlign w:val="center"/>
          </w:tcPr>
          <w:p>
            <w:pPr>
              <w:adjustRightInd w:val="0"/>
              <w:spacing w:line="260" w:lineRule="exact"/>
              <w:jc w:val="center"/>
              <w:rPr>
                <w:sz w:val="21"/>
                <w:szCs w:val="21"/>
                <w:lang w:bidi="ar"/>
              </w:rPr>
            </w:pPr>
            <w:r>
              <w:rPr>
                <w:rFonts w:hint="eastAsia"/>
                <w:sz w:val="21"/>
                <w:szCs w:val="21"/>
                <w:lang w:bidi="ar"/>
              </w:rPr>
              <w:t>基本消除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68" w:hRule="atLeast"/>
          <w:jc w:val="center"/>
        </w:trPr>
        <w:tc>
          <w:tcPr>
            <w:tcW w:w="568" w:type="dxa"/>
            <w:noWrap w:val="0"/>
            <w:vAlign w:val="center"/>
          </w:tcPr>
          <w:p>
            <w:pPr>
              <w:adjustRightInd w:val="0"/>
              <w:spacing w:line="260" w:lineRule="exact"/>
              <w:jc w:val="center"/>
              <w:rPr>
                <w:sz w:val="21"/>
                <w:szCs w:val="21"/>
              </w:rPr>
            </w:pPr>
            <w:r>
              <w:rPr>
                <w:sz w:val="21"/>
                <w:szCs w:val="21"/>
              </w:rPr>
              <w:t>10</w:t>
            </w:r>
          </w:p>
        </w:tc>
        <w:tc>
          <w:tcPr>
            <w:tcW w:w="615" w:type="dxa"/>
            <w:vMerge w:val="continue"/>
            <w:noWrap w:val="0"/>
            <w:vAlign w:val="center"/>
          </w:tcPr>
          <w:p>
            <w:pPr>
              <w:adjustRightIn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黑臭水体</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消除</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消除</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1061" w:type="dxa"/>
            <w:noWrap w:val="0"/>
            <w:vAlign w:val="center"/>
          </w:tcPr>
          <w:p>
            <w:pPr>
              <w:adjustRightInd w:val="0"/>
              <w:spacing w:line="260" w:lineRule="exact"/>
              <w:jc w:val="center"/>
              <w:rPr>
                <w:rFonts w:hint="eastAsia"/>
                <w:sz w:val="21"/>
                <w:szCs w:val="21"/>
                <w:lang w:bidi="ar"/>
              </w:rPr>
            </w:pPr>
            <w:r>
              <w:rPr>
                <w:rFonts w:hint="eastAsia"/>
                <w:sz w:val="21"/>
                <w:szCs w:val="21"/>
                <w:lang w:bidi="ar"/>
              </w:rPr>
              <w:t>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34" w:hRule="atLeast"/>
          <w:jc w:val="center"/>
        </w:trPr>
        <w:tc>
          <w:tcPr>
            <w:tcW w:w="568" w:type="dxa"/>
            <w:noWrap w:val="0"/>
            <w:vAlign w:val="center"/>
          </w:tcPr>
          <w:p>
            <w:pPr>
              <w:adjustRightInd w:val="0"/>
              <w:spacing w:line="260" w:lineRule="exact"/>
              <w:jc w:val="center"/>
              <w:rPr>
                <w:sz w:val="21"/>
                <w:szCs w:val="21"/>
              </w:rPr>
            </w:pPr>
            <w:r>
              <w:rPr>
                <w:sz w:val="21"/>
                <w:szCs w:val="21"/>
              </w:rPr>
              <w:t>11</w:t>
            </w:r>
          </w:p>
        </w:tc>
        <w:tc>
          <w:tcPr>
            <w:tcW w:w="615" w:type="dxa"/>
            <w:vMerge w:val="continue"/>
            <w:noWrap w:val="0"/>
            <w:vAlign w:val="center"/>
          </w:tcPr>
          <w:p>
            <w:pPr>
              <w:adjustRightIn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违法入河排污口排查整治</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开展</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开展</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1061" w:type="dxa"/>
            <w:noWrap w:val="0"/>
            <w:vAlign w:val="center"/>
          </w:tcPr>
          <w:p>
            <w:pPr>
              <w:adjustRightInd w:val="0"/>
              <w:spacing w:line="260" w:lineRule="exact"/>
              <w:jc w:val="center"/>
              <w:rPr>
                <w:sz w:val="21"/>
                <w:szCs w:val="21"/>
                <w:lang w:bidi="ar"/>
              </w:rPr>
            </w:pPr>
            <w:r>
              <w:rPr>
                <w:rFonts w:hint="eastAsia"/>
                <w:sz w:val="21"/>
                <w:szCs w:val="21"/>
                <w:lang w:bidi="ar"/>
              </w:rPr>
              <w:t>持续开展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00" w:hRule="atLeast"/>
          <w:jc w:val="center"/>
        </w:trPr>
        <w:tc>
          <w:tcPr>
            <w:tcW w:w="568" w:type="dxa"/>
            <w:noWrap w:val="0"/>
            <w:vAlign w:val="center"/>
          </w:tcPr>
          <w:p>
            <w:pPr>
              <w:adjustRightInd w:val="0"/>
              <w:spacing w:line="260" w:lineRule="exact"/>
              <w:jc w:val="center"/>
              <w:rPr>
                <w:sz w:val="21"/>
                <w:szCs w:val="21"/>
              </w:rPr>
            </w:pPr>
            <w:r>
              <w:rPr>
                <w:sz w:val="21"/>
                <w:szCs w:val="21"/>
              </w:rPr>
              <w:t>12</w:t>
            </w:r>
          </w:p>
        </w:tc>
        <w:tc>
          <w:tcPr>
            <w:tcW w:w="615" w:type="dxa"/>
            <w:vMerge w:val="continue"/>
            <w:noWrap w:val="0"/>
            <w:vAlign w:val="center"/>
          </w:tcPr>
          <w:p>
            <w:pPr>
              <w:adjustRightIn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散乱污企业集中整治</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开展</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开展</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1061" w:type="dxa"/>
            <w:noWrap w:val="0"/>
            <w:vAlign w:val="center"/>
          </w:tcPr>
          <w:p>
            <w:pPr>
              <w:adjustRightInd w:val="0"/>
              <w:spacing w:line="260" w:lineRule="exact"/>
              <w:jc w:val="center"/>
              <w:rPr>
                <w:sz w:val="21"/>
                <w:szCs w:val="21"/>
                <w:lang w:bidi="ar"/>
              </w:rPr>
            </w:pPr>
            <w:r>
              <w:rPr>
                <w:rFonts w:hint="eastAsia"/>
                <w:sz w:val="21"/>
                <w:szCs w:val="21"/>
                <w:lang w:bidi="ar"/>
              </w:rPr>
              <w:t>持续开展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61" w:hRule="atLeast"/>
          <w:jc w:val="center"/>
        </w:trPr>
        <w:tc>
          <w:tcPr>
            <w:tcW w:w="568" w:type="dxa"/>
            <w:noWrap w:val="0"/>
            <w:vAlign w:val="center"/>
          </w:tcPr>
          <w:p>
            <w:pPr>
              <w:adjustRightInd w:val="0"/>
              <w:spacing w:line="260" w:lineRule="exact"/>
              <w:jc w:val="center"/>
              <w:rPr>
                <w:sz w:val="21"/>
                <w:szCs w:val="21"/>
              </w:rPr>
            </w:pPr>
            <w:r>
              <w:rPr>
                <w:sz w:val="21"/>
                <w:szCs w:val="21"/>
              </w:rPr>
              <w:t>13</w:t>
            </w:r>
          </w:p>
        </w:tc>
        <w:tc>
          <w:tcPr>
            <w:tcW w:w="615" w:type="dxa"/>
            <w:vMerge w:val="continue"/>
            <w:noWrap w:val="0"/>
            <w:vAlign w:val="center"/>
          </w:tcPr>
          <w:p>
            <w:pPr>
              <w:adjustRightIn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乡镇集中式饮用水水源地水质达标率</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100</w:t>
            </w:r>
          </w:p>
        </w:tc>
        <w:tc>
          <w:tcPr>
            <w:tcW w:w="708" w:type="dxa"/>
            <w:noWrap w:val="0"/>
            <w:vAlign w:val="center"/>
          </w:tcPr>
          <w:p>
            <w:pPr>
              <w:adjustRightInd w:val="0"/>
              <w:snapToGrid w:val="0"/>
              <w:spacing w:line="260" w:lineRule="exact"/>
              <w:jc w:val="center"/>
              <w:rPr>
                <w:sz w:val="21"/>
                <w:szCs w:val="21"/>
                <w:lang w:bidi="ar"/>
              </w:rPr>
            </w:pPr>
            <w:r>
              <w:rPr>
                <w:sz w:val="21"/>
                <w:szCs w:val="21"/>
                <w:lang w:bidi="ar"/>
              </w:rPr>
              <w:t>5</w:t>
            </w:r>
          </w:p>
        </w:tc>
        <w:tc>
          <w:tcPr>
            <w:tcW w:w="993" w:type="dxa"/>
            <w:noWrap w:val="0"/>
            <w:vAlign w:val="center"/>
          </w:tcPr>
          <w:p>
            <w:pPr>
              <w:adjustRightInd w:val="0"/>
              <w:snapToGrid w:val="0"/>
              <w:spacing w:line="260" w:lineRule="exact"/>
              <w:jc w:val="center"/>
              <w:rPr>
                <w:sz w:val="21"/>
                <w:szCs w:val="21"/>
                <w:lang w:bidi="ar"/>
              </w:rPr>
            </w:pPr>
            <w:r>
              <w:rPr>
                <w:rFonts w:hint="eastAsia"/>
                <w:sz w:val="21"/>
                <w:szCs w:val="21"/>
                <w:lang w:bidi="ar"/>
              </w:rPr>
              <w:t>100</w:t>
            </w:r>
          </w:p>
        </w:tc>
        <w:tc>
          <w:tcPr>
            <w:tcW w:w="708" w:type="dxa"/>
            <w:noWrap w:val="0"/>
            <w:vAlign w:val="center"/>
          </w:tcPr>
          <w:p>
            <w:pPr>
              <w:adjustRightInd w:val="0"/>
              <w:snapToGrid w:val="0"/>
              <w:spacing w:line="260" w:lineRule="exact"/>
              <w:jc w:val="center"/>
              <w:rPr>
                <w:rFonts w:hint="eastAsia"/>
                <w:sz w:val="21"/>
                <w:szCs w:val="21"/>
                <w:lang w:bidi="ar"/>
              </w:rPr>
            </w:pPr>
            <w:r>
              <w:rPr>
                <w:rFonts w:hint="eastAsia"/>
                <w:sz w:val="21"/>
                <w:szCs w:val="21"/>
                <w:lang w:bidi="ar"/>
              </w:rPr>
              <w:t>5</w:t>
            </w:r>
          </w:p>
        </w:tc>
        <w:tc>
          <w:tcPr>
            <w:tcW w:w="1061" w:type="dxa"/>
            <w:noWrap w:val="0"/>
            <w:vAlign w:val="center"/>
          </w:tcPr>
          <w:p>
            <w:pPr>
              <w:adjustRightInd w:val="0"/>
              <w:snapToGrid w:val="0"/>
              <w:spacing w:line="260" w:lineRule="exact"/>
              <w:jc w:val="center"/>
              <w:rPr>
                <w:rFonts w:hint="eastAsia"/>
                <w:sz w:val="21"/>
                <w:szCs w:val="21"/>
                <w:lang w:bidi="ar"/>
              </w:rPr>
            </w:pPr>
            <w:r>
              <w:rPr>
                <w:rFonts w:hint="eastAsia"/>
                <w:sz w:val="21"/>
                <w:szCs w:val="21"/>
                <w:lang w:bidi="ar"/>
              </w:rPr>
              <w:t>1</w:t>
            </w:r>
            <w:r>
              <w:rPr>
                <w:sz w:val="21"/>
                <w:szCs w:val="21"/>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61" w:hRule="atLeast"/>
          <w:jc w:val="center"/>
        </w:trPr>
        <w:tc>
          <w:tcPr>
            <w:tcW w:w="568" w:type="dxa"/>
            <w:vMerge w:val="restart"/>
            <w:noWrap w:val="0"/>
            <w:vAlign w:val="center"/>
          </w:tcPr>
          <w:p>
            <w:pPr>
              <w:adjustRightInd w:val="0"/>
              <w:snapToGrid w:val="0"/>
              <w:spacing w:line="260" w:lineRule="exact"/>
              <w:jc w:val="center"/>
              <w:rPr>
                <w:sz w:val="21"/>
                <w:szCs w:val="21"/>
              </w:rPr>
            </w:pPr>
            <w:r>
              <w:rPr>
                <w:rFonts w:hint="eastAsia"/>
                <w:sz w:val="21"/>
                <w:szCs w:val="21"/>
              </w:rPr>
              <w:t>1</w:t>
            </w:r>
            <w:r>
              <w:rPr>
                <w:sz w:val="21"/>
                <w:szCs w:val="21"/>
              </w:rPr>
              <w:t>4</w:t>
            </w:r>
          </w:p>
        </w:tc>
        <w:tc>
          <w:tcPr>
            <w:tcW w:w="615" w:type="dxa"/>
            <w:vMerge w:val="restart"/>
            <w:noWrap w:val="0"/>
            <w:vAlign w:val="center"/>
          </w:tcPr>
          <w:p>
            <w:pPr>
              <w:adjustRightInd w:val="0"/>
              <w:snapToGrid w:val="0"/>
              <w:spacing w:line="260" w:lineRule="exact"/>
              <w:jc w:val="center"/>
              <w:rPr>
                <w:sz w:val="21"/>
                <w:szCs w:val="21"/>
              </w:rPr>
            </w:pPr>
            <w:r>
              <w:rPr>
                <w:sz w:val="21"/>
                <w:szCs w:val="21"/>
              </w:rPr>
              <w:t>生态</w:t>
            </w:r>
          </w:p>
          <w:p>
            <w:pPr>
              <w:adjustRightInd w:val="0"/>
              <w:snapToGrid w:val="0"/>
              <w:spacing w:line="260" w:lineRule="exact"/>
              <w:jc w:val="center"/>
              <w:rPr>
                <w:sz w:val="21"/>
                <w:szCs w:val="21"/>
              </w:rPr>
            </w:pPr>
            <w:r>
              <w:rPr>
                <w:sz w:val="21"/>
                <w:szCs w:val="21"/>
              </w:rPr>
              <w:t>屏障</w:t>
            </w:r>
          </w:p>
        </w:tc>
        <w:tc>
          <w:tcPr>
            <w:tcW w:w="2517" w:type="dxa"/>
            <w:vMerge w:val="restart"/>
            <w:noWrap w:val="0"/>
            <w:vAlign w:val="center"/>
          </w:tcPr>
          <w:p>
            <w:pPr>
              <w:adjustRightInd w:val="0"/>
              <w:snapToGrid w:val="0"/>
              <w:spacing w:line="260" w:lineRule="exact"/>
              <w:jc w:val="left"/>
              <w:rPr>
                <w:sz w:val="21"/>
                <w:szCs w:val="21"/>
              </w:rPr>
            </w:pPr>
            <w:r>
              <w:rPr>
                <w:sz w:val="21"/>
                <w:szCs w:val="21"/>
              </w:rPr>
              <w:t>森林覆盖率</w:t>
            </w:r>
          </w:p>
        </w:tc>
        <w:tc>
          <w:tcPr>
            <w:tcW w:w="709" w:type="dxa"/>
            <w:vMerge w:val="restart"/>
            <w:noWrap w:val="0"/>
            <w:vAlign w:val="center"/>
          </w:tcPr>
          <w:p>
            <w:pPr>
              <w:adjustRightInd w:val="0"/>
              <w:snapToGrid w:val="0"/>
              <w:spacing w:line="26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260" w:lineRule="exact"/>
              <w:jc w:val="center"/>
              <w:rPr>
                <w:sz w:val="21"/>
                <w:szCs w:val="21"/>
                <w:lang w:bidi="ar"/>
              </w:rPr>
            </w:pPr>
            <w:r>
              <w:rPr>
                <w:sz w:val="21"/>
                <w:szCs w:val="21"/>
                <w:lang w:bidi="ar"/>
              </w:rPr>
              <w:t>≥40</w:t>
            </w:r>
          </w:p>
        </w:tc>
        <w:tc>
          <w:tcPr>
            <w:tcW w:w="708" w:type="dxa"/>
            <w:noWrap w:val="0"/>
            <w:vAlign w:val="center"/>
          </w:tcPr>
          <w:p>
            <w:pPr>
              <w:adjustRightInd w:val="0"/>
              <w:snapToGrid w:val="0"/>
              <w:spacing w:line="260" w:lineRule="exact"/>
              <w:jc w:val="center"/>
              <w:rPr>
                <w:sz w:val="21"/>
                <w:szCs w:val="21"/>
                <w:lang w:bidi="ar"/>
              </w:rPr>
            </w:pPr>
            <w:r>
              <w:rPr>
                <w:sz w:val="21"/>
                <w:szCs w:val="21"/>
                <w:lang w:bidi="ar"/>
              </w:rPr>
              <w:t>5</w:t>
            </w:r>
          </w:p>
        </w:tc>
        <w:tc>
          <w:tcPr>
            <w:tcW w:w="993" w:type="dxa"/>
            <w:noWrap w:val="0"/>
            <w:vAlign w:val="center"/>
          </w:tcPr>
          <w:p>
            <w:pPr>
              <w:adjustRightInd w:val="0"/>
              <w:snapToGrid w:val="0"/>
              <w:spacing w:line="260" w:lineRule="exact"/>
              <w:jc w:val="center"/>
              <w:rPr>
                <w:sz w:val="21"/>
                <w:szCs w:val="21"/>
                <w:lang w:bidi="ar"/>
              </w:rPr>
            </w:pPr>
            <w:r>
              <w:rPr>
                <w:sz w:val="21"/>
                <w:szCs w:val="21"/>
                <w:lang w:bidi="ar"/>
              </w:rPr>
              <w:t>43%</w:t>
            </w:r>
          </w:p>
        </w:tc>
        <w:tc>
          <w:tcPr>
            <w:tcW w:w="708" w:type="dxa"/>
            <w:vMerge w:val="restart"/>
            <w:noWrap w:val="0"/>
            <w:vAlign w:val="center"/>
          </w:tcPr>
          <w:p>
            <w:pPr>
              <w:adjustRightInd w:val="0"/>
              <w:snapToGrid w:val="0"/>
              <w:spacing w:line="260" w:lineRule="exact"/>
              <w:jc w:val="center"/>
              <w:rPr>
                <w:sz w:val="21"/>
                <w:szCs w:val="21"/>
                <w:lang w:bidi="ar"/>
              </w:rPr>
            </w:pPr>
            <w:r>
              <w:rPr>
                <w:rFonts w:hint="eastAsia"/>
                <w:sz w:val="21"/>
                <w:szCs w:val="21"/>
                <w:lang w:bidi="ar"/>
              </w:rPr>
              <w:t>5</w:t>
            </w:r>
          </w:p>
        </w:tc>
        <w:tc>
          <w:tcPr>
            <w:tcW w:w="1061" w:type="dxa"/>
            <w:vMerge w:val="restart"/>
            <w:noWrap w:val="0"/>
            <w:vAlign w:val="center"/>
          </w:tcPr>
          <w:p>
            <w:pPr>
              <w:adjustRightInd w:val="0"/>
              <w:snapToGrid w:val="0"/>
              <w:spacing w:line="260" w:lineRule="exact"/>
              <w:jc w:val="center"/>
              <w:rPr>
                <w:rFonts w:hint="eastAsia"/>
                <w:sz w:val="21"/>
                <w:szCs w:val="21"/>
                <w:lang w:bidi="ar"/>
              </w:rPr>
            </w:pPr>
            <w:r>
              <w:rPr>
                <w:rFonts w:hint="eastAsia"/>
                <w:sz w:val="21"/>
                <w:szCs w:val="21"/>
                <w:lang w:bidi="ar"/>
              </w:rPr>
              <w:t>≥4</w:t>
            </w:r>
            <w:r>
              <w:rPr>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90" w:hRule="atLeast"/>
          <w:jc w:val="center"/>
        </w:trPr>
        <w:tc>
          <w:tcPr>
            <w:tcW w:w="568" w:type="dxa"/>
            <w:vMerge w:val="continue"/>
            <w:noWrap w:val="0"/>
            <w:vAlign w:val="center"/>
          </w:tcPr>
          <w:p>
            <w:pPr>
              <w:adjustRightInd w:val="0"/>
              <w:snapToGrid w:val="0"/>
              <w:spacing w:line="260" w:lineRule="exact"/>
              <w:jc w:val="center"/>
              <w:rPr>
                <w:sz w:val="21"/>
                <w:szCs w:val="21"/>
              </w:rPr>
            </w:pPr>
          </w:p>
        </w:tc>
        <w:tc>
          <w:tcPr>
            <w:tcW w:w="615" w:type="dxa"/>
            <w:vMerge w:val="continue"/>
            <w:noWrap w:val="0"/>
            <w:vAlign w:val="center"/>
          </w:tcPr>
          <w:p>
            <w:pPr>
              <w:adjustRightInd w:val="0"/>
              <w:snapToGrid w:val="0"/>
              <w:spacing w:line="260" w:lineRule="exact"/>
              <w:jc w:val="center"/>
              <w:rPr>
                <w:sz w:val="21"/>
                <w:szCs w:val="21"/>
              </w:rPr>
            </w:pPr>
          </w:p>
        </w:tc>
        <w:tc>
          <w:tcPr>
            <w:tcW w:w="2517" w:type="dxa"/>
            <w:vMerge w:val="continue"/>
            <w:noWrap w:val="0"/>
            <w:vAlign w:val="center"/>
          </w:tcPr>
          <w:p>
            <w:pPr>
              <w:adjustRightInd w:val="0"/>
              <w:snapToGrid w:val="0"/>
              <w:spacing w:line="260" w:lineRule="exact"/>
              <w:jc w:val="left"/>
              <w:rPr>
                <w:sz w:val="21"/>
                <w:szCs w:val="21"/>
              </w:rPr>
            </w:pPr>
          </w:p>
        </w:tc>
        <w:tc>
          <w:tcPr>
            <w:tcW w:w="709" w:type="dxa"/>
            <w:vMerge w:val="continue"/>
            <w:noWrap w:val="0"/>
            <w:vAlign w:val="center"/>
          </w:tcPr>
          <w:p>
            <w:pPr>
              <w:adjustRightInd w:val="0"/>
              <w:snapToGrid w:val="0"/>
              <w:spacing w:line="260" w:lineRule="exact"/>
              <w:jc w:val="center"/>
              <w:rPr>
                <w:sz w:val="21"/>
                <w:szCs w:val="21"/>
                <w:lang w:bidi="ar"/>
              </w:rPr>
            </w:pPr>
          </w:p>
        </w:tc>
        <w:tc>
          <w:tcPr>
            <w:tcW w:w="1276" w:type="dxa"/>
            <w:noWrap w:val="0"/>
            <w:vAlign w:val="center"/>
          </w:tcPr>
          <w:p>
            <w:pPr>
              <w:adjustRightInd w:val="0"/>
              <w:snapToGrid w:val="0"/>
              <w:spacing w:line="260" w:lineRule="exact"/>
              <w:jc w:val="center"/>
              <w:rPr>
                <w:sz w:val="21"/>
                <w:szCs w:val="21"/>
                <w:lang w:bidi="ar"/>
              </w:rPr>
            </w:pPr>
            <w:r>
              <w:rPr>
                <w:sz w:val="21"/>
                <w:szCs w:val="21"/>
                <w:lang w:bidi="ar"/>
              </w:rPr>
              <w:t>40＞A≥35</w:t>
            </w:r>
          </w:p>
        </w:tc>
        <w:tc>
          <w:tcPr>
            <w:tcW w:w="708" w:type="dxa"/>
            <w:noWrap w:val="0"/>
            <w:vAlign w:val="center"/>
          </w:tcPr>
          <w:p>
            <w:pPr>
              <w:adjustRightInd w:val="0"/>
              <w:snapToGrid w:val="0"/>
              <w:spacing w:line="260" w:lineRule="exact"/>
              <w:jc w:val="center"/>
              <w:rPr>
                <w:sz w:val="21"/>
                <w:szCs w:val="21"/>
                <w:lang w:bidi="ar"/>
              </w:rPr>
            </w:pPr>
            <w:r>
              <w:rPr>
                <w:sz w:val="21"/>
                <w:szCs w:val="21"/>
                <w:lang w:bidi="ar"/>
              </w:rPr>
              <w:t>3</w:t>
            </w:r>
          </w:p>
        </w:tc>
        <w:tc>
          <w:tcPr>
            <w:tcW w:w="993" w:type="dxa"/>
            <w:noWrap w:val="0"/>
            <w:vAlign w:val="center"/>
          </w:tcPr>
          <w:p>
            <w:pPr>
              <w:adjustRightInd w:val="0"/>
              <w:snapToGrid w:val="0"/>
              <w:spacing w:line="260" w:lineRule="exact"/>
              <w:jc w:val="center"/>
              <w:rPr>
                <w:sz w:val="21"/>
                <w:szCs w:val="21"/>
                <w:lang w:bidi="ar"/>
              </w:rPr>
            </w:pPr>
            <w:r>
              <w:rPr>
                <w:rFonts w:hint="eastAsia"/>
                <w:sz w:val="21"/>
                <w:szCs w:val="21"/>
                <w:lang w:bidi="ar"/>
              </w:rPr>
              <w:t>/</w:t>
            </w:r>
          </w:p>
        </w:tc>
        <w:tc>
          <w:tcPr>
            <w:tcW w:w="708" w:type="dxa"/>
            <w:vMerge w:val="continue"/>
            <w:noWrap w:val="0"/>
            <w:vAlign w:val="center"/>
          </w:tcPr>
          <w:p>
            <w:pPr>
              <w:adjustRightInd w:val="0"/>
              <w:snapToGrid w:val="0"/>
              <w:spacing w:line="260" w:lineRule="exact"/>
              <w:jc w:val="center"/>
              <w:rPr>
                <w:sz w:val="21"/>
                <w:szCs w:val="21"/>
                <w:lang w:bidi="ar"/>
              </w:rPr>
            </w:pPr>
          </w:p>
        </w:tc>
        <w:tc>
          <w:tcPr>
            <w:tcW w:w="1061" w:type="dxa"/>
            <w:vMerge w:val="continue"/>
            <w:noWrap w:val="0"/>
            <w:vAlign w:val="center"/>
          </w:tcPr>
          <w:p>
            <w:pPr>
              <w:adjustRightInd w:val="0"/>
              <w:snapToGrid w:val="0"/>
              <w:spacing w:line="260" w:lineRule="exact"/>
              <w:jc w:val="center"/>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30" w:hRule="atLeast"/>
          <w:jc w:val="center"/>
        </w:trPr>
        <w:tc>
          <w:tcPr>
            <w:tcW w:w="568" w:type="dxa"/>
            <w:noWrap w:val="0"/>
            <w:vAlign w:val="center"/>
          </w:tcPr>
          <w:p>
            <w:pPr>
              <w:adjustRightInd w:val="0"/>
              <w:snapToGrid w:val="0"/>
              <w:spacing w:line="260" w:lineRule="exact"/>
              <w:jc w:val="center"/>
              <w:rPr>
                <w:sz w:val="21"/>
                <w:szCs w:val="21"/>
              </w:rPr>
            </w:pPr>
            <w:r>
              <w:rPr>
                <w:sz w:val="21"/>
                <w:szCs w:val="21"/>
              </w:rPr>
              <w:t>15</w:t>
            </w:r>
          </w:p>
        </w:tc>
        <w:tc>
          <w:tcPr>
            <w:tcW w:w="615" w:type="dxa"/>
            <w:vMerge w:val="continue"/>
            <w:noWrap w:val="0"/>
            <w:vAlign w:val="center"/>
          </w:tcPr>
          <w:p>
            <w:pPr>
              <w:adjustRightInd w:val="0"/>
              <w:snapToGri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自然生态空间</w:t>
            </w:r>
          </w:p>
          <w:p>
            <w:pPr>
              <w:adjustRightInd w:val="0"/>
              <w:spacing w:line="260" w:lineRule="exact"/>
              <w:ind w:firstLine="311" w:firstLineChars="150"/>
              <w:jc w:val="left"/>
              <w:rPr>
                <w:sz w:val="21"/>
                <w:szCs w:val="21"/>
              </w:rPr>
            </w:pPr>
            <w:r>
              <w:rPr>
                <w:sz w:val="21"/>
                <w:szCs w:val="21"/>
              </w:rPr>
              <w:t>生态保护红线</w:t>
            </w:r>
          </w:p>
          <w:p>
            <w:pPr>
              <w:adjustRightInd w:val="0"/>
              <w:spacing w:line="260" w:lineRule="exact"/>
              <w:ind w:firstLine="311" w:firstLineChars="150"/>
              <w:jc w:val="left"/>
              <w:rPr>
                <w:sz w:val="21"/>
                <w:szCs w:val="21"/>
              </w:rPr>
            </w:pPr>
            <w:r>
              <w:rPr>
                <w:sz w:val="21"/>
                <w:szCs w:val="21"/>
              </w:rPr>
              <w:t>自然保护地</w:t>
            </w:r>
          </w:p>
        </w:tc>
        <w:tc>
          <w:tcPr>
            <w:tcW w:w="709" w:type="dxa"/>
            <w:noWrap w:val="0"/>
            <w:vAlign w:val="center"/>
          </w:tcPr>
          <w:p>
            <w:pPr>
              <w:adjustRightInd w:val="0"/>
              <w:snapToGrid w:val="0"/>
              <w:spacing w:line="260" w:lineRule="exact"/>
              <w:jc w:val="center"/>
              <w:rPr>
                <w:sz w:val="21"/>
                <w:szCs w:val="21"/>
              </w:rPr>
            </w:pPr>
            <w:r>
              <w:rPr>
                <w:sz w:val="21"/>
                <w:szCs w:val="21"/>
              </w:rPr>
              <w:t>-</w:t>
            </w:r>
          </w:p>
        </w:tc>
        <w:tc>
          <w:tcPr>
            <w:tcW w:w="1276" w:type="dxa"/>
            <w:noWrap w:val="0"/>
            <w:vAlign w:val="center"/>
          </w:tcPr>
          <w:p>
            <w:pPr>
              <w:adjustRightInd w:val="0"/>
              <w:snapToGrid w:val="0"/>
              <w:spacing w:line="260" w:lineRule="exact"/>
              <w:jc w:val="left"/>
              <w:rPr>
                <w:sz w:val="21"/>
                <w:szCs w:val="21"/>
              </w:rPr>
            </w:pPr>
            <w:r>
              <w:rPr>
                <w:sz w:val="21"/>
                <w:szCs w:val="21"/>
              </w:rPr>
              <w:t>面积不减少，性质不改变，功能不降低</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napToGrid w:val="0"/>
              <w:spacing w:line="260" w:lineRule="exact"/>
              <w:jc w:val="left"/>
              <w:rPr>
                <w:sz w:val="21"/>
                <w:szCs w:val="21"/>
              </w:rPr>
            </w:pPr>
            <w:r>
              <w:rPr>
                <w:sz w:val="21"/>
                <w:szCs w:val="21"/>
              </w:rPr>
              <w:t>面积不减少，性质不改变，功能不降低</w:t>
            </w:r>
          </w:p>
        </w:tc>
        <w:tc>
          <w:tcPr>
            <w:tcW w:w="708" w:type="dxa"/>
            <w:noWrap w:val="0"/>
            <w:vAlign w:val="center"/>
          </w:tcPr>
          <w:p>
            <w:pPr>
              <w:adjustRightInd w:val="0"/>
              <w:spacing w:line="260" w:lineRule="exact"/>
              <w:jc w:val="center"/>
              <w:rPr>
                <w:rFonts w:hint="eastAsia"/>
                <w:sz w:val="21"/>
                <w:szCs w:val="21"/>
                <w:lang w:bidi="ar"/>
              </w:rPr>
            </w:pPr>
            <w:r>
              <w:rPr>
                <w:rFonts w:hint="eastAsia"/>
                <w:sz w:val="21"/>
                <w:szCs w:val="21"/>
                <w:lang w:bidi="ar"/>
              </w:rPr>
              <w:t>5</w:t>
            </w:r>
          </w:p>
        </w:tc>
        <w:tc>
          <w:tcPr>
            <w:tcW w:w="1061" w:type="dxa"/>
            <w:noWrap w:val="0"/>
            <w:vAlign w:val="center"/>
          </w:tcPr>
          <w:p>
            <w:pPr>
              <w:adjustRightInd w:val="0"/>
              <w:snapToGrid w:val="0"/>
              <w:spacing w:line="260" w:lineRule="exact"/>
              <w:jc w:val="left"/>
              <w:rPr>
                <w:sz w:val="21"/>
                <w:szCs w:val="21"/>
              </w:rPr>
            </w:pPr>
            <w:r>
              <w:rPr>
                <w:sz w:val="21"/>
                <w:szCs w:val="21"/>
              </w:rPr>
              <w:t>面积不减少，性质不改变，功能不降低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92" w:hRule="atLeast"/>
          <w:jc w:val="center"/>
        </w:trPr>
        <w:tc>
          <w:tcPr>
            <w:tcW w:w="568" w:type="dxa"/>
            <w:noWrap w:val="0"/>
            <w:vAlign w:val="center"/>
          </w:tcPr>
          <w:p>
            <w:pPr>
              <w:adjustRightInd w:val="0"/>
              <w:spacing w:line="400" w:lineRule="exact"/>
              <w:jc w:val="center"/>
              <w:rPr>
                <w:sz w:val="21"/>
                <w:szCs w:val="21"/>
              </w:rPr>
            </w:pPr>
            <w:r>
              <w:rPr>
                <w:sz w:val="21"/>
                <w:szCs w:val="21"/>
              </w:rPr>
              <w:t>16</w:t>
            </w:r>
          </w:p>
        </w:tc>
        <w:tc>
          <w:tcPr>
            <w:tcW w:w="615" w:type="dxa"/>
            <w:vMerge w:val="restart"/>
            <w:noWrap w:val="0"/>
            <w:vAlign w:val="center"/>
          </w:tcPr>
          <w:p>
            <w:pPr>
              <w:adjustRightInd w:val="0"/>
              <w:spacing w:line="400" w:lineRule="exact"/>
              <w:jc w:val="center"/>
              <w:rPr>
                <w:sz w:val="21"/>
                <w:szCs w:val="21"/>
              </w:rPr>
            </w:pPr>
            <w:r>
              <w:rPr>
                <w:sz w:val="21"/>
                <w:szCs w:val="21"/>
              </w:rPr>
              <w:t>生态</w:t>
            </w:r>
          </w:p>
          <w:p>
            <w:pPr>
              <w:adjustRightInd w:val="0"/>
              <w:spacing w:line="400" w:lineRule="exact"/>
              <w:jc w:val="center"/>
              <w:rPr>
                <w:sz w:val="21"/>
                <w:szCs w:val="21"/>
              </w:rPr>
            </w:pPr>
            <w:r>
              <w:rPr>
                <w:sz w:val="21"/>
                <w:szCs w:val="21"/>
              </w:rPr>
              <w:t>安全</w:t>
            </w:r>
          </w:p>
        </w:tc>
        <w:tc>
          <w:tcPr>
            <w:tcW w:w="2517" w:type="dxa"/>
            <w:noWrap w:val="0"/>
            <w:vAlign w:val="center"/>
          </w:tcPr>
          <w:p>
            <w:pPr>
              <w:adjustRightInd w:val="0"/>
              <w:spacing w:line="330" w:lineRule="exact"/>
              <w:jc w:val="left"/>
              <w:rPr>
                <w:sz w:val="21"/>
                <w:szCs w:val="21"/>
              </w:rPr>
            </w:pPr>
            <w:r>
              <w:rPr>
                <w:sz w:val="21"/>
                <w:szCs w:val="21"/>
              </w:rPr>
              <w:t>危险废物处置利用率</w:t>
            </w:r>
          </w:p>
        </w:tc>
        <w:tc>
          <w:tcPr>
            <w:tcW w:w="709" w:type="dxa"/>
            <w:noWrap w:val="0"/>
            <w:vAlign w:val="center"/>
          </w:tcPr>
          <w:p>
            <w:pPr>
              <w:adjustRightInd w:val="0"/>
              <w:spacing w:line="330" w:lineRule="exact"/>
              <w:jc w:val="center"/>
              <w:rPr>
                <w:sz w:val="21"/>
                <w:szCs w:val="21"/>
                <w:lang w:bidi="ar"/>
              </w:rPr>
            </w:pPr>
            <w:r>
              <w:rPr>
                <w:sz w:val="21"/>
                <w:szCs w:val="21"/>
                <w:lang w:bidi="ar"/>
              </w:rPr>
              <w:t>%</w:t>
            </w:r>
          </w:p>
        </w:tc>
        <w:tc>
          <w:tcPr>
            <w:tcW w:w="1276" w:type="dxa"/>
            <w:noWrap w:val="0"/>
            <w:vAlign w:val="center"/>
          </w:tcPr>
          <w:p>
            <w:pPr>
              <w:adjustRightInd w:val="0"/>
              <w:spacing w:line="330" w:lineRule="exact"/>
              <w:jc w:val="center"/>
              <w:rPr>
                <w:sz w:val="21"/>
                <w:szCs w:val="21"/>
                <w:lang w:bidi="ar"/>
              </w:rPr>
            </w:pPr>
            <w:r>
              <w:rPr>
                <w:sz w:val="21"/>
                <w:szCs w:val="21"/>
                <w:lang w:bidi="ar"/>
              </w:rPr>
              <w:t>100</w:t>
            </w:r>
          </w:p>
        </w:tc>
        <w:tc>
          <w:tcPr>
            <w:tcW w:w="708" w:type="dxa"/>
            <w:noWrap w:val="0"/>
            <w:vAlign w:val="center"/>
          </w:tcPr>
          <w:p>
            <w:pPr>
              <w:adjustRightInd w:val="0"/>
              <w:spacing w:line="400" w:lineRule="exact"/>
              <w:jc w:val="center"/>
              <w:rPr>
                <w:sz w:val="21"/>
                <w:szCs w:val="21"/>
                <w:lang w:bidi="ar"/>
              </w:rPr>
            </w:pPr>
            <w:r>
              <w:rPr>
                <w:sz w:val="21"/>
                <w:szCs w:val="21"/>
                <w:lang w:bidi="ar"/>
              </w:rPr>
              <w:t>4</w:t>
            </w:r>
          </w:p>
        </w:tc>
        <w:tc>
          <w:tcPr>
            <w:tcW w:w="993" w:type="dxa"/>
            <w:noWrap w:val="0"/>
            <w:vAlign w:val="center"/>
          </w:tcPr>
          <w:p>
            <w:pPr>
              <w:adjustRightInd w:val="0"/>
              <w:spacing w:line="400" w:lineRule="exact"/>
              <w:jc w:val="center"/>
              <w:rPr>
                <w:sz w:val="21"/>
                <w:szCs w:val="21"/>
                <w:lang w:bidi="ar"/>
              </w:rPr>
            </w:pPr>
            <w:r>
              <w:rPr>
                <w:rFonts w:hint="eastAsia"/>
                <w:sz w:val="21"/>
                <w:szCs w:val="21"/>
                <w:lang w:bidi="ar"/>
              </w:rPr>
              <w:t>1</w:t>
            </w:r>
            <w:r>
              <w:rPr>
                <w:sz w:val="21"/>
                <w:szCs w:val="21"/>
                <w:lang w:bidi="ar"/>
              </w:rPr>
              <w:t>00</w:t>
            </w:r>
          </w:p>
        </w:tc>
        <w:tc>
          <w:tcPr>
            <w:tcW w:w="708" w:type="dxa"/>
            <w:noWrap w:val="0"/>
            <w:vAlign w:val="center"/>
          </w:tcPr>
          <w:p>
            <w:pPr>
              <w:adjustRightInd w:val="0"/>
              <w:spacing w:line="400" w:lineRule="exact"/>
              <w:jc w:val="center"/>
              <w:rPr>
                <w:sz w:val="21"/>
                <w:szCs w:val="21"/>
                <w:lang w:bidi="ar"/>
              </w:rPr>
            </w:pPr>
            <w:r>
              <w:rPr>
                <w:rFonts w:hint="eastAsia"/>
                <w:sz w:val="21"/>
                <w:szCs w:val="21"/>
                <w:lang w:bidi="ar"/>
              </w:rPr>
              <w:t>4</w:t>
            </w:r>
          </w:p>
        </w:tc>
        <w:tc>
          <w:tcPr>
            <w:tcW w:w="1061" w:type="dxa"/>
            <w:noWrap w:val="0"/>
            <w:vAlign w:val="center"/>
          </w:tcPr>
          <w:p>
            <w:pPr>
              <w:adjustRightInd w:val="0"/>
              <w:spacing w:line="400" w:lineRule="exact"/>
              <w:jc w:val="center"/>
              <w:rPr>
                <w:sz w:val="21"/>
                <w:szCs w:val="21"/>
                <w:lang w:bidi="ar"/>
              </w:rPr>
            </w:pPr>
            <w:r>
              <w:rPr>
                <w:rFonts w:hint="eastAsia"/>
                <w:sz w:val="21"/>
                <w:szCs w:val="21"/>
                <w:lang w:bidi="ar"/>
              </w:rPr>
              <w:t>1</w:t>
            </w:r>
            <w:r>
              <w:rPr>
                <w:sz w:val="21"/>
                <w:szCs w:val="21"/>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jc w:val="center"/>
        </w:trPr>
        <w:tc>
          <w:tcPr>
            <w:tcW w:w="568" w:type="dxa"/>
            <w:noWrap w:val="0"/>
            <w:vAlign w:val="center"/>
          </w:tcPr>
          <w:p>
            <w:pPr>
              <w:adjustRightInd w:val="0"/>
              <w:spacing w:line="400" w:lineRule="exact"/>
              <w:jc w:val="center"/>
              <w:rPr>
                <w:sz w:val="21"/>
                <w:szCs w:val="21"/>
              </w:rPr>
            </w:pPr>
            <w:r>
              <w:rPr>
                <w:sz w:val="21"/>
                <w:szCs w:val="21"/>
              </w:rPr>
              <w:t>17</w:t>
            </w:r>
          </w:p>
        </w:tc>
        <w:tc>
          <w:tcPr>
            <w:tcW w:w="615" w:type="dxa"/>
            <w:vMerge w:val="continue"/>
            <w:noWrap w:val="0"/>
            <w:vAlign w:val="center"/>
          </w:tcPr>
          <w:p>
            <w:pPr>
              <w:adjustRightInd w:val="0"/>
              <w:spacing w:line="400" w:lineRule="exact"/>
              <w:jc w:val="center"/>
              <w:rPr>
                <w:sz w:val="21"/>
                <w:szCs w:val="21"/>
              </w:rPr>
            </w:pPr>
          </w:p>
        </w:tc>
        <w:tc>
          <w:tcPr>
            <w:tcW w:w="2517" w:type="dxa"/>
            <w:noWrap w:val="0"/>
            <w:vAlign w:val="center"/>
          </w:tcPr>
          <w:p>
            <w:pPr>
              <w:adjustRightInd w:val="0"/>
              <w:spacing w:line="330" w:lineRule="exact"/>
              <w:jc w:val="left"/>
              <w:rPr>
                <w:sz w:val="21"/>
                <w:szCs w:val="21"/>
              </w:rPr>
            </w:pPr>
            <w:r>
              <w:rPr>
                <w:sz w:val="21"/>
                <w:szCs w:val="21"/>
              </w:rPr>
              <w:t>突发生态环境事件应急管理机制</w:t>
            </w:r>
          </w:p>
        </w:tc>
        <w:tc>
          <w:tcPr>
            <w:tcW w:w="709" w:type="dxa"/>
            <w:noWrap w:val="0"/>
            <w:vAlign w:val="center"/>
          </w:tcPr>
          <w:p>
            <w:pPr>
              <w:adjustRightInd w:val="0"/>
              <w:spacing w:line="330" w:lineRule="exact"/>
              <w:jc w:val="center"/>
              <w:rPr>
                <w:sz w:val="21"/>
                <w:szCs w:val="21"/>
              </w:rPr>
            </w:pPr>
            <w:r>
              <w:rPr>
                <w:sz w:val="21"/>
                <w:szCs w:val="21"/>
              </w:rPr>
              <w:t>-</w:t>
            </w:r>
          </w:p>
        </w:tc>
        <w:tc>
          <w:tcPr>
            <w:tcW w:w="1276" w:type="dxa"/>
            <w:noWrap w:val="0"/>
            <w:vAlign w:val="center"/>
          </w:tcPr>
          <w:p>
            <w:pPr>
              <w:adjustRightInd w:val="0"/>
              <w:spacing w:line="330" w:lineRule="exact"/>
              <w:jc w:val="center"/>
              <w:rPr>
                <w:sz w:val="21"/>
                <w:szCs w:val="21"/>
              </w:rPr>
            </w:pPr>
            <w:r>
              <w:rPr>
                <w:sz w:val="21"/>
                <w:szCs w:val="21"/>
              </w:rPr>
              <w:t>建立</w:t>
            </w:r>
          </w:p>
        </w:tc>
        <w:tc>
          <w:tcPr>
            <w:tcW w:w="708" w:type="dxa"/>
            <w:noWrap w:val="0"/>
            <w:vAlign w:val="center"/>
          </w:tcPr>
          <w:p>
            <w:pPr>
              <w:adjustRightInd w:val="0"/>
              <w:spacing w:line="400" w:lineRule="exact"/>
              <w:jc w:val="center"/>
              <w:rPr>
                <w:sz w:val="21"/>
                <w:szCs w:val="21"/>
              </w:rPr>
            </w:pPr>
            <w:r>
              <w:rPr>
                <w:sz w:val="21"/>
                <w:szCs w:val="21"/>
              </w:rPr>
              <w:t>4</w:t>
            </w:r>
          </w:p>
        </w:tc>
        <w:tc>
          <w:tcPr>
            <w:tcW w:w="993" w:type="dxa"/>
            <w:noWrap w:val="0"/>
            <w:vAlign w:val="center"/>
          </w:tcPr>
          <w:p>
            <w:pPr>
              <w:adjustRightInd w:val="0"/>
              <w:spacing w:line="400" w:lineRule="exact"/>
              <w:jc w:val="center"/>
              <w:rPr>
                <w:sz w:val="21"/>
                <w:szCs w:val="21"/>
              </w:rPr>
            </w:pPr>
            <w:r>
              <w:rPr>
                <w:rFonts w:hint="eastAsia"/>
                <w:sz w:val="21"/>
                <w:szCs w:val="21"/>
              </w:rPr>
              <w:t>建立</w:t>
            </w:r>
          </w:p>
        </w:tc>
        <w:tc>
          <w:tcPr>
            <w:tcW w:w="708" w:type="dxa"/>
            <w:noWrap w:val="0"/>
            <w:vAlign w:val="center"/>
          </w:tcPr>
          <w:p>
            <w:pPr>
              <w:adjustRightInd w:val="0"/>
              <w:spacing w:line="400" w:lineRule="exact"/>
              <w:jc w:val="center"/>
              <w:rPr>
                <w:sz w:val="21"/>
                <w:szCs w:val="21"/>
              </w:rPr>
            </w:pPr>
            <w:r>
              <w:rPr>
                <w:rFonts w:hint="eastAsia"/>
                <w:sz w:val="21"/>
                <w:szCs w:val="21"/>
              </w:rPr>
              <w:t>4</w:t>
            </w:r>
          </w:p>
        </w:tc>
        <w:tc>
          <w:tcPr>
            <w:tcW w:w="1061" w:type="dxa"/>
            <w:noWrap w:val="0"/>
            <w:vAlign w:val="center"/>
          </w:tcPr>
          <w:p>
            <w:pPr>
              <w:adjustRightInd w:val="0"/>
              <w:spacing w:line="400" w:lineRule="exact"/>
              <w:jc w:val="center"/>
              <w:rPr>
                <w:rFonts w:hint="eastAsia"/>
                <w:sz w:val="21"/>
                <w:szCs w:val="21"/>
              </w:rPr>
            </w:pPr>
            <w:r>
              <w:rPr>
                <w:rFonts w:hint="eastAsia"/>
                <w:sz w:val="21"/>
                <w:szCs w:val="21"/>
              </w:rPr>
              <w:t>建立，逐步完善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25" w:hRule="atLeast"/>
          <w:jc w:val="center"/>
        </w:trPr>
        <w:tc>
          <w:tcPr>
            <w:tcW w:w="568" w:type="dxa"/>
            <w:vMerge w:val="restart"/>
            <w:noWrap w:val="0"/>
            <w:vAlign w:val="center"/>
          </w:tcPr>
          <w:p>
            <w:pPr>
              <w:adjustRightInd w:val="0"/>
              <w:snapToGrid w:val="0"/>
              <w:spacing w:line="400" w:lineRule="exact"/>
              <w:jc w:val="center"/>
              <w:rPr>
                <w:sz w:val="21"/>
                <w:szCs w:val="21"/>
              </w:rPr>
            </w:pPr>
            <w:r>
              <w:rPr>
                <w:sz w:val="21"/>
                <w:szCs w:val="21"/>
              </w:rPr>
              <w:t>18</w:t>
            </w:r>
          </w:p>
        </w:tc>
        <w:tc>
          <w:tcPr>
            <w:tcW w:w="615" w:type="dxa"/>
            <w:vMerge w:val="restart"/>
            <w:noWrap w:val="0"/>
            <w:vAlign w:val="center"/>
          </w:tcPr>
          <w:p>
            <w:pPr>
              <w:adjustRightInd w:val="0"/>
              <w:snapToGrid w:val="0"/>
              <w:spacing w:line="400" w:lineRule="exact"/>
              <w:jc w:val="center"/>
              <w:rPr>
                <w:sz w:val="21"/>
                <w:szCs w:val="21"/>
              </w:rPr>
            </w:pPr>
            <w:r>
              <w:rPr>
                <w:sz w:val="21"/>
                <w:szCs w:val="21"/>
              </w:rPr>
              <w:t>生态</w:t>
            </w:r>
          </w:p>
          <w:p>
            <w:pPr>
              <w:adjustRightInd w:val="0"/>
              <w:snapToGrid w:val="0"/>
              <w:spacing w:line="400" w:lineRule="exact"/>
              <w:jc w:val="center"/>
              <w:rPr>
                <w:sz w:val="21"/>
                <w:szCs w:val="21"/>
              </w:rPr>
            </w:pPr>
            <w:r>
              <w:rPr>
                <w:sz w:val="21"/>
                <w:szCs w:val="21"/>
              </w:rPr>
              <w:t>人居</w:t>
            </w:r>
          </w:p>
        </w:tc>
        <w:tc>
          <w:tcPr>
            <w:tcW w:w="2517" w:type="dxa"/>
            <w:vMerge w:val="restart"/>
            <w:noWrap w:val="0"/>
            <w:vAlign w:val="center"/>
          </w:tcPr>
          <w:p>
            <w:pPr>
              <w:adjustRightInd w:val="0"/>
              <w:snapToGrid w:val="0"/>
              <w:spacing w:line="330" w:lineRule="exact"/>
              <w:jc w:val="left"/>
              <w:rPr>
                <w:sz w:val="21"/>
                <w:szCs w:val="21"/>
              </w:rPr>
            </w:pPr>
            <w:r>
              <w:rPr>
                <w:sz w:val="21"/>
                <w:szCs w:val="21"/>
              </w:rPr>
              <w:t>乡镇集中式生活污水处理率</w:t>
            </w:r>
          </w:p>
        </w:tc>
        <w:tc>
          <w:tcPr>
            <w:tcW w:w="709" w:type="dxa"/>
            <w:vMerge w:val="restart"/>
            <w:noWrap w:val="0"/>
            <w:vAlign w:val="center"/>
          </w:tcPr>
          <w:p>
            <w:pPr>
              <w:adjustRightInd w:val="0"/>
              <w:snapToGrid w:val="0"/>
              <w:spacing w:line="33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≥85</w:t>
            </w:r>
          </w:p>
        </w:tc>
        <w:tc>
          <w:tcPr>
            <w:tcW w:w="708" w:type="dxa"/>
            <w:noWrap w:val="0"/>
            <w:vAlign w:val="center"/>
          </w:tcPr>
          <w:p>
            <w:pPr>
              <w:adjustRightInd w:val="0"/>
              <w:snapToGrid w:val="0"/>
              <w:spacing w:line="400" w:lineRule="exact"/>
              <w:jc w:val="center"/>
              <w:rPr>
                <w:sz w:val="21"/>
                <w:szCs w:val="21"/>
                <w:lang w:bidi="ar"/>
              </w:rPr>
            </w:pPr>
            <w:r>
              <w:rPr>
                <w:sz w:val="21"/>
                <w:szCs w:val="21"/>
                <w:lang w:bidi="ar"/>
              </w:rPr>
              <w:t>5</w:t>
            </w:r>
          </w:p>
        </w:tc>
        <w:tc>
          <w:tcPr>
            <w:tcW w:w="993" w:type="dxa"/>
            <w:noWrap w:val="0"/>
            <w:vAlign w:val="center"/>
          </w:tcPr>
          <w:p>
            <w:pPr>
              <w:adjustRightInd w:val="0"/>
              <w:snapToGrid w:val="0"/>
              <w:spacing w:line="400" w:lineRule="exact"/>
              <w:jc w:val="center"/>
              <w:rPr>
                <w:sz w:val="21"/>
                <w:szCs w:val="21"/>
                <w:lang w:bidi="ar"/>
              </w:rPr>
            </w:pPr>
            <w:r>
              <w:rPr>
                <w:rFonts w:hint="eastAsia"/>
                <w:sz w:val="21"/>
                <w:szCs w:val="21"/>
                <w:lang w:bidi="ar"/>
              </w:rPr>
              <w:t>9</w:t>
            </w:r>
            <w:r>
              <w:rPr>
                <w:sz w:val="21"/>
                <w:szCs w:val="21"/>
                <w:lang w:bidi="ar"/>
              </w:rPr>
              <w:t>9</w:t>
            </w:r>
          </w:p>
        </w:tc>
        <w:tc>
          <w:tcPr>
            <w:tcW w:w="708" w:type="dxa"/>
            <w:vMerge w:val="restart"/>
            <w:noWrap w:val="0"/>
            <w:vAlign w:val="center"/>
          </w:tcPr>
          <w:p>
            <w:pPr>
              <w:adjustRightInd w:val="0"/>
              <w:snapToGrid w:val="0"/>
              <w:spacing w:line="400" w:lineRule="exact"/>
              <w:jc w:val="center"/>
              <w:rPr>
                <w:sz w:val="21"/>
                <w:szCs w:val="21"/>
                <w:lang w:bidi="ar"/>
              </w:rPr>
            </w:pPr>
            <w:r>
              <w:rPr>
                <w:rFonts w:hint="eastAsia"/>
                <w:sz w:val="21"/>
                <w:szCs w:val="21"/>
                <w:lang w:bidi="ar"/>
              </w:rPr>
              <w:t>5</w:t>
            </w:r>
          </w:p>
        </w:tc>
        <w:tc>
          <w:tcPr>
            <w:tcW w:w="1061" w:type="dxa"/>
            <w:vMerge w:val="restart"/>
            <w:noWrap w:val="0"/>
            <w:vAlign w:val="center"/>
          </w:tcPr>
          <w:p>
            <w:pPr>
              <w:adjustRightInd w:val="0"/>
              <w:snapToGrid w:val="0"/>
              <w:spacing w:line="400" w:lineRule="exact"/>
              <w:jc w:val="center"/>
              <w:rPr>
                <w:sz w:val="21"/>
                <w:szCs w:val="21"/>
                <w:lang w:bidi="ar"/>
              </w:rPr>
            </w:pPr>
            <w:r>
              <w:rPr>
                <w:rFonts w:hint="eastAsia"/>
                <w:sz w:val="21"/>
                <w:szCs w:val="21"/>
                <w:lang w:bidi="ar"/>
              </w:rPr>
              <w:t>≥9</w:t>
            </w:r>
            <w:r>
              <w:rPr>
                <w:sz w:val="21"/>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58"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85＞A≥80</w:t>
            </w:r>
          </w:p>
        </w:tc>
        <w:tc>
          <w:tcPr>
            <w:tcW w:w="708" w:type="dxa"/>
            <w:noWrap w:val="0"/>
            <w:vAlign w:val="center"/>
          </w:tcPr>
          <w:p>
            <w:pPr>
              <w:adjustRightInd w:val="0"/>
              <w:snapToGrid w:val="0"/>
              <w:spacing w:line="400" w:lineRule="exact"/>
              <w:jc w:val="center"/>
              <w:rPr>
                <w:sz w:val="21"/>
                <w:szCs w:val="21"/>
                <w:lang w:bidi="ar"/>
              </w:rPr>
            </w:pPr>
            <w:r>
              <w:rPr>
                <w:sz w:val="21"/>
                <w:szCs w:val="21"/>
                <w:lang w:bidi="ar"/>
              </w:rPr>
              <w:t>3</w:t>
            </w:r>
          </w:p>
        </w:tc>
        <w:tc>
          <w:tcPr>
            <w:tcW w:w="993" w:type="dxa"/>
            <w:noWrap w:val="0"/>
            <w:vAlign w:val="center"/>
          </w:tcPr>
          <w:p>
            <w:pPr>
              <w:adjustRightInd w:val="0"/>
              <w:snapToGrid w:val="0"/>
              <w:spacing w:line="400" w:lineRule="exact"/>
              <w:jc w:val="center"/>
              <w:rPr>
                <w:sz w:val="21"/>
                <w:szCs w:val="21"/>
                <w:lang w:bidi="ar"/>
              </w:rPr>
            </w:pPr>
            <w:r>
              <w:rPr>
                <w:rFonts w:hint="eastAsia"/>
                <w:sz w:val="21"/>
                <w:szCs w:val="21"/>
                <w:lang w:bidi="ar"/>
              </w:rPr>
              <w:t>/</w:t>
            </w:r>
          </w:p>
        </w:tc>
        <w:tc>
          <w:tcPr>
            <w:tcW w:w="708" w:type="dxa"/>
            <w:vMerge w:val="continue"/>
            <w:noWrap w:val="0"/>
            <w:vAlign w:val="center"/>
          </w:tcPr>
          <w:p>
            <w:pPr>
              <w:adjustRightInd w:val="0"/>
              <w:snapToGrid w:val="0"/>
              <w:spacing w:line="400" w:lineRule="exact"/>
              <w:jc w:val="center"/>
              <w:rPr>
                <w:sz w:val="21"/>
                <w:szCs w:val="21"/>
                <w:lang w:bidi="ar"/>
              </w:rPr>
            </w:pPr>
          </w:p>
        </w:tc>
        <w:tc>
          <w:tcPr>
            <w:tcW w:w="1061" w:type="dxa"/>
            <w:vMerge w:val="continue"/>
            <w:noWrap w:val="0"/>
            <w:vAlign w:val="center"/>
          </w:tcPr>
          <w:p>
            <w:pPr>
              <w:adjustRightInd w:val="0"/>
              <w:snapToGrid w:val="0"/>
              <w:spacing w:line="400" w:lineRule="exact"/>
              <w:jc w:val="center"/>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89"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80＞A≥75</w:t>
            </w:r>
          </w:p>
        </w:tc>
        <w:tc>
          <w:tcPr>
            <w:tcW w:w="708" w:type="dxa"/>
            <w:noWrap w:val="0"/>
            <w:vAlign w:val="center"/>
          </w:tcPr>
          <w:p>
            <w:pPr>
              <w:adjustRightInd w:val="0"/>
              <w:snapToGrid w:val="0"/>
              <w:spacing w:line="400" w:lineRule="exact"/>
              <w:jc w:val="center"/>
              <w:rPr>
                <w:sz w:val="21"/>
                <w:szCs w:val="21"/>
                <w:lang w:bidi="ar"/>
              </w:rPr>
            </w:pPr>
            <w:r>
              <w:rPr>
                <w:sz w:val="21"/>
                <w:szCs w:val="21"/>
                <w:lang w:bidi="ar"/>
              </w:rPr>
              <w:t>1</w:t>
            </w:r>
          </w:p>
        </w:tc>
        <w:tc>
          <w:tcPr>
            <w:tcW w:w="993" w:type="dxa"/>
            <w:noWrap w:val="0"/>
            <w:vAlign w:val="center"/>
          </w:tcPr>
          <w:p>
            <w:pPr>
              <w:adjustRightInd w:val="0"/>
              <w:snapToGrid w:val="0"/>
              <w:spacing w:line="400" w:lineRule="exact"/>
              <w:jc w:val="center"/>
              <w:rPr>
                <w:sz w:val="21"/>
                <w:szCs w:val="21"/>
                <w:lang w:bidi="ar"/>
              </w:rPr>
            </w:pPr>
            <w:r>
              <w:rPr>
                <w:rFonts w:hint="eastAsia"/>
                <w:sz w:val="21"/>
                <w:szCs w:val="21"/>
                <w:lang w:bidi="ar"/>
              </w:rPr>
              <w:t>/</w:t>
            </w:r>
          </w:p>
        </w:tc>
        <w:tc>
          <w:tcPr>
            <w:tcW w:w="708" w:type="dxa"/>
            <w:vMerge w:val="continue"/>
            <w:noWrap w:val="0"/>
            <w:vAlign w:val="center"/>
          </w:tcPr>
          <w:p>
            <w:pPr>
              <w:adjustRightInd w:val="0"/>
              <w:snapToGrid w:val="0"/>
              <w:spacing w:line="400" w:lineRule="exact"/>
              <w:jc w:val="center"/>
              <w:rPr>
                <w:sz w:val="21"/>
                <w:szCs w:val="21"/>
                <w:lang w:bidi="ar"/>
              </w:rPr>
            </w:pPr>
          </w:p>
        </w:tc>
        <w:tc>
          <w:tcPr>
            <w:tcW w:w="1061" w:type="dxa"/>
            <w:vMerge w:val="continue"/>
            <w:noWrap w:val="0"/>
            <w:vAlign w:val="center"/>
          </w:tcPr>
          <w:p>
            <w:pPr>
              <w:adjustRightInd w:val="0"/>
              <w:snapToGrid w:val="0"/>
              <w:spacing w:line="400" w:lineRule="exact"/>
              <w:jc w:val="center"/>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12" w:hRule="atLeast"/>
          <w:jc w:val="center"/>
        </w:trPr>
        <w:tc>
          <w:tcPr>
            <w:tcW w:w="568" w:type="dxa"/>
            <w:vMerge w:val="restart"/>
            <w:noWrap w:val="0"/>
            <w:vAlign w:val="center"/>
          </w:tcPr>
          <w:p>
            <w:pPr>
              <w:adjustRightInd w:val="0"/>
              <w:snapToGrid w:val="0"/>
              <w:spacing w:line="400" w:lineRule="exact"/>
              <w:jc w:val="center"/>
              <w:rPr>
                <w:sz w:val="21"/>
                <w:szCs w:val="21"/>
              </w:rPr>
            </w:pPr>
            <w:r>
              <w:rPr>
                <w:sz w:val="21"/>
                <w:szCs w:val="21"/>
              </w:rPr>
              <w:t>19</w:t>
            </w: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restart"/>
            <w:noWrap w:val="0"/>
            <w:vAlign w:val="center"/>
          </w:tcPr>
          <w:p>
            <w:pPr>
              <w:adjustRightInd w:val="0"/>
              <w:snapToGrid w:val="0"/>
              <w:spacing w:line="330" w:lineRule="exact"/>
              <w:jc w:val="left"/>
              <w:rPr>
                <w:sz w:val="21"/>
                <w:szCs w:val="21"/>
              </w:rPr>
            </w:pPr>
            <w:r>
              <w:rPr>
                <w:sz w:val="21"/>
                <w:szCs w:val="21"/>
              </w:rPr>
              <w:t>生活垃圾收集转运率</w:t>
            </w:r>
          </w:p>
        </w:tc>
        <w:tc>
          <w:tcPr>
            <w:tcW w:w="709" w:type="dxa"/>
            <w:vMerge w:val="restart"/>
            <w:noWrap w:val="0"/>
            <w:vAlign w:val="center"/>
          </w:tcPr>
          <w:p>
            <w:pPr>
              <w:adjustRightInd w:val="0"/>
              <w:snapToGrid w:val="0"/>
              <w:spacing w:line="33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95</w:t>
            </w:r>
          </w:p>
        </w:tc>
        <w:tc>
          <w:tcPr>
            <w:tcW w:w="708" w:type="dxa"/>
            <w:noWrap w:val="0"/>
            <w:vAlign w:val="center"/>
          </w:tcPr>
          <w:p>
            <w:pPr>
              <w:adjustRightInd w:val="0"/>
              <w:snapToGrid w:val="0"/>
              <w:spacing w:line="400" w:lineRule="exact"/>
              <w:jc w:val="center"/>
              <w:rPr>
                <w:sz w:val="21"/>
                <w:szCs w:val="21"/>
              </w:rPr>
            </w:pPr>
            <w:r>
              <w:rPr>
                <w:sz w:val="21"/>
                <w:szCs w:val="21"/>
              </w:rPr>
              <w:t>5</w:t>
            </w:r>
          </w:p>
        </w:tc>
        <w:tc>
          <w:tcPr>
            <w:tcW w:w="993" w:type="dxa"/>
            <w:noWrap w:val="0"/>
            <w:vAlign w:val="center"/>
          </w:tcPr>
          <w:p>
            <w:pPr>
              <w:adjustRightInd w:val="0"/>
              <w:snapToGrid w:val="0"/>
              <w:spacing w:line="400" w:lineRule="exact"/>
              <w:jc w:val="center"/>
              <w:rPr>
                <w:sz w:val="21"/>
                <w:szCs w:val="21"/>
              </w:rPr>
            </w:pPr>
            <w:r>
              <w:rPr>
                <w:rFonts w:hint="eastAsia"/>
                <w:sz w:val="21"/>
                <w:szCs w:val="21"/>
              </w:rPr>
              <w:t>1</w:t>
            </w:r>
            <w:r>
              <w:rPr>
                <w:sz w:val="21"/>
                <w:szCs w:val="21"/>
              </w:rPr>
              <w:t>00</w:t>
            </w:r>
          </w:p>
        </w:tc>
        <w:tc>
          <w:tcPr>
            <w:tcW w:w="708" w:type="dxa"/>
            <w:vMerge w:val="restart"/>
            <w:noWrap w:val="0"/>
            <w:vAlign w:val="center"/>
          </w:tcPr>
          <w:p>
            <w:pPr>
              <w:adjustRightInd w:val="0"/>
              <w:snapToGrid w:val="0"/>
              <w:spacing w:line="400" w:lineRule="exact"/>
              <w:jc w:val="center"/>
              <w:rPr>
                <w:sz w:val="21"/>
                <w:szCs w:val="21"/>
              </w:rPr>
            </w:pPr>
            <w:r>
              <w:rPr>
                <w:rFonts w:hint="eastAsia"/>
                <w:sz w:val="21"/>
                <w:szCs w:val="21"/>
              </w:rPr>
              <w:t>5</w:t>
            </w:r>
          </w:p>
        </w:tc>
        <w:tc>
          <w:tcPr>
            <w:tcW w:w="1061" w:type="dxa"/>
            <w:vMerge w:val="restart"/>
            <w:noWrap w:val="0"/>
            <w:vAlign w:val="center"/>
          </w:tcPr>
          <w:p>
            <w:pPr>
              <w:adjustRightInd w:val="0"/>
              <w:snapToGrid w:val="0"/>
              <w:spacing w:line="400" w:lineRule="exact"/>
              <w:jc w:val="center"/>
              <w:rPr>
                <w:sz w:val="21"/>
                <w:szCs w:val="21"/>
              </w:rPr>
            </w:pPr>
            <w:r>
              <w:rPr>
                <w:rFonts w:hint="eastAsia"/>
                <w:sz w:val="21"/>
                <w:szCs w:val="21"/>
              </w:rPr>
              <w:t>1</w:t>
            </w:r>
            <w:r>
              <w:rPr>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12"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95＞A≥90</w:t>
            </w:r>
          </w:p>
        </w:tc>
        <w:tc>
          <w:tcPr>
            <w:tcW w:w="708" w:type="dxa"/>
            <w:noWrap w:val="0"/>
            <w:vAlign w:val="center"/>
          </w:tcPr>
          <w:p>
            <w:pPr>
              <w:adjustRightInd w:val="0"/>
              <w:snapToGrid w:val="0"/>
              <w:spacing w:line="400" w:lineRule="exact"/>
              <w:jc w:val="center"/>
              <w:rPr>
                <w:sz w:val="21"/>
                <w:szCs w:val="21"/>
              </w:rPr>
            </w:pPr>
            <w:r>
              <w:rPr>
                <w:sz w:val="21"/>
                <w:szCs w:val="21"/>
              </w:rPr>
              <w:t>3</w:t>
            </w:r>
          </w:p>
        </w:tc>
        <w:tc>
          <w:tcPr>
            <w:tcW w:w="993" w:type="dxa"/>
            <w:noWrap w:val="0"/>
            <w:vAlign w:val="center"/>
          </w:tcPr>
          <w:p>
            <w:pPr>
              <w:adjustRightInd w:val="0"/>
              <w:snapToGrid w:val="0"/>
              <w:spacing w:line="400" w:lineRule="exact"/>
              <w:jc w:val="center"/>
              <w:rPr>
                <w:sz w:val="21"/>
                <w:szCs w:val="21"/>
              </w:rPr>
            </w:pPr>
            <w:r>
              <w:rPr>
                <w:rFonts w:hint="eastAsia"/>
                <w:sz w:val="21"/>
                <w:szCs w:val="21"/>
              </w:rPr>
              <w:t>/</w:t>
            </w:r>
          </w:p>
        </w:tc>
        <w:tc>
          <w:tcPr>
            <w:tcW w:w="708" w:type="dxa"/>
            <w:vMerge w:val="continue"/>
            <w:noWrap w:val="0"/>
            <w:vAlign w:val="center"/>
          </w:tcPr>
          <w:p>
            <w:pPr>
              <w:adjustRightInd w:val="0"/>
              <w:snapToGrid w:val="0"/>
              <w:spacing w:line="400" w:lineRule="exact"/>
              <w:jc w:val="center"/>
              <w:rPr>
                <w:sz w:val="21"/>
                <w:szCs w:val="21"/>
              </w:rPr>
            </w:pPr>
          </w:p>
        </w:tc>
        <w:tc>
          <w:tcPr>
            <w:tcW w:w="1061" w:type="dxa"/>
            <w:vMerge w:val="continue"/>
            <w:noWrap w:val="0"/>
            <w:vAlign w:val="center"/>
          </w:tcPr>
          <w:p>
            <w:pPr>
              <w:adjustRightInd w:val="0"/>
              <w:snapToGrid w:val="0"/>
              <w:spacing w:line="4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48"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90＞A≥85</w:t>
            </w:r>
          </w:p>
        </w:tc>
        <w:tc>
          <w:tcPr>
            <w:tcW w:w="708" w:type="dxa"/>
            <w:noWrap w:val="0"/>
            <w:vAlign w:val="center"/>
          </w:tcPr>
          <w:p>
            <w:pPr>
              <w:adjustRightInd w:val="0"/>
              <w:snapToGrid w:val="0"/>
              <w:spacing w:line="400" w:lineRule="exact"/>
              <w:jc w:val="center"/>
              <w:rPr>
                <w:sz w:val="21"/>
                <w:szCs w:val="21"/>
              </w:rPr>
            </w:pPr>
            <w:r>
              <w:rPr>
                <w:sz w:val="21"/>
                <w:szCs w:val="21"/>
              </w:rPr>
              <w:t>1</w:t>
            </w:r>
          </w:p>
        </w:tc>
        <w:tc>
          <w:tcPr>
            <w:tcW w:w="993" w:type="dxa"/>
            <w:noWrap w:val="0"/>
            <w:vAlign w:val="center"/>
          </w:tcPr>
          <w:p>
            <w:pPr>
              <w:adjustRightInd w:val="0"/>
              <w:snapToGrid w:val="0"/>
              <w:spacing w:line="400" w:lineRule="exact"/>
              <w:jc w:val="center"/>
              <w:rPr>
                <w:sz w:val="21"/>
                <w:szCs w:val="21"/>
              </w:rPr>
            </w:pPr>
            <w:r>
              <w:rPr>
                <w:rFonts w:hint="eastAsia"/>
                <w:sz w:val="21"/>
                <w:szCs w:val="21"/>
              </w:rPr>
              <w:t>/</w:t>
            </w:r>
          </w:p>
        </w:tc>
        <w:tc>
          <w:tcPr>
            <w:tcW w:w="708" w:type="dxa"/>
            <w:vMerge w:val="continue"/>
            <w:noWrap w:val="0"/>
            <w:vAlign w:val="center"/>
          </w:tcPr>
          <w:p>
            <w:pPr>
              <w:adjustRightInd w:val="0"/>
              <w:snapToGrid w:val="0"/>
              <w:spacing w:line="400" w:lineRule="exact"/>
              <w:jc w:val="center"/>
              <w:rPr>
                <w:sz w:val="21"/>
                <w:szCs w:val="21"/>
              </w:rPr>
            </w:pPr>
          </w:p>
        </w:tc>
        <w:tc>
          <w:tcPr>
            <w:tcW w:w="1061" w:type="dxa"/>
            <w:vMerge w:val="continue"/>
            <w:noWrap w:val="0"/>
            <w:vAlign w:val="center"/>
          </w:tcPr>
          <w:p>
            <w:pPr>
              <w:adjustRightInd w:val="0"/>
              <w:snapToGrid w:val="0"/>
              <w:spacing w:line="4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66" w:hRule="atLeast"/>
          <w:jc w:val="center"/>
        </w:trPr>
        <w:tc>
          <w:tcPr>
            <w:tcW w:w="568" w:type="dxa"/>
            <w:vMerge w:val="restart"/>
            <w:noWrap w:val="0"/>
            <w:vAlign w:val="center"/>
          </w:tcPr>
          <w:p>
            <w:pPr>
              <w:adjustRightInd w:val="0"/>
              <w:snapToGrid w:val="0"/>
              <w:spacing w:line="400" w:lineRule="exact"/>
              <w:jc w:val="center"/>
              <w:rPr>
                <w:sz w:val="21"/>
                <w:szCs w:val="21"/>
              </w:rPr>
            </w:pPr>
            <w:r>
              <w:rPr>
                <w:sz w:val="21"/>
                <w:szCs w:val="21"/>
              </w:rPr>
              <w:t>20</w:t>
            </w: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restart"/>
            <w:noWrap w:val="0"/>
            <w:vAlign w:val="center"/>
          </w:tcPr>
          <w:p>
            <w:pPr>
              <w:adjustRightInd w:val="0"/>
              <w:snapToGrid w:val="0"/>
              <w:spacing w:line="330" w:lineRule="exact"/>
              <w:jc w:val="left"/>
              <w:rPr>
                <w:sz w:val="21"/>
                <w:szCs w:val="21"/>
              </w:rPr>
            </w:pPr>
            <w:r>
              <w:rPr>
                <w:sz w:val="21"/>
                <w:szCs w:val="21"/>
              </w:rPr>
              <w:t>使用清洁能源的户数比例</w:t>
            </w:r>
          </w:p>
        </w:tc>
        <w:tc>
          <w:tcPr>
            <w:tcW w:w="709" w:type="dxa"/>
            <w:vMerge w:val="restart"/>
            <w:noWrap w:val="0"/>
            <w:vAlign w:val="center"/>
          </w:tcPr>
          <w:p>
            <w:pPr>
              <w:adjustRightInd w:val="0"/>
              <w:snapToGrid w:val="0"/>
              <w:spacing w:line="33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≥60</w:t>
            </w:r>
          </w:p>
        </w:tc>
        <w:tc>
          <w:tcPr>
            <w:tcW w:w="708" w:type="dxa"/>
            <w:noWrap w:val="0"/>
            <w:vAlign w:val="center"/>
          </w:tcPr>
          <w:p>
            <w:pPr>
              <w:adjustRightInd w:val="0"/>
              <w:snapToGrid w:val="0"/>
              <w:spacing w:line="400" w:lineRule="exact"/>
              <w:jc w:val="center"/>
              <w:rPr>
                <w:sz w:val="21"/>
                <w:szCs w:val="21"/>
              </w:rPr>
            </w:pPr>
            <w:r>
              <w:rPr>
                <w:sz w:val="21"/>
                <w:szCs w:val="21"/>
              </w:rPr>
              <w:t>4</w:t>
            </w:r>
          </w:p>
        </w:tc>
        <w:tc>
          <w:tcPr>
            <w:tcW w:w="993" w:type="dxa"/>
            <w:noWrap w:val="0"/>
            <w:vAlign w:val="center"/>
          </w:tcPr>
          <w:p>
            <w:pPr>
              <w:adjustRightInd w:val="0"/>
              <w:snapToGrid w:val="0"/>
              <w:spacing w:line="400" w:lineRule="exact"/>
              <w:jc w:val="center"/>
              <w:rPr>
                <w:sz w:val="21"/>
                <w:szCs w:val="21"/>
              </w:rPr>
            </w:pPr>
            <w:r>
              <w:rPr>
                <w:sz w:val="21"/>
                <w:szCs w:val="21"/>
              </w:rPr>
              <w:t>61</w:t>
            </w:r>
          </w:p>
        </w:tc>
        <w:tc>
          <w:tcPr>
            <w:tcW w:w="708" w:type="dxa"/>
            <w:vMerge w:val="restart"/>
            <w:noWrap w:val="0"/>
            <w:vAlign w:val="center"/>
          </w:tcPr>
          <w:p>
            <w:pPr>
              <w:adjustRightInd w:val="0"/>
              <w:snapToGrid w:val="0"/>
              <w:spacing w:line="400" w:lineRule="exact"/>
              <w:jc w:val="center"/>
              <w:rPr>
                <w:sz w:val="21"/>
                <w:szCs w:val="21"/>
              </w:rPr>
            </w:pPr>
            <w:r>
              <w:rPr>
                <w:rFonts w:hint="eastAsia"/>
                <w:sz w:val="21"/>
                <w:szCs w:val="21"/>
              </w:rPr>
              <w:t>4</w:t>
            </w:r>
          </w:p>
        </w:tc>
        <w:tc>
          <w:tcPr>
            <w:tcW w:w="1061" w:type="dxa"/>
            <w:vMerge w:val="restart"/>
            <w:noWrap w:val="0"/>
            <w:vAlign w:val="center"/>
          </w:tcPr>
          <w:p>
            <w:pPr>
              <w:adjustRightInd w:val="0"/>
              <w:snapToGrid w:val="0"/>
              <w:spacing w:line="400" w:lineRule="exact"/>
              <w:jc w:val="center"/>
              <w:rPr>
                <w:sz w:val="21"/>
                <w:szCs w:val="21"/>
              </w:rPr>
            </w:pPr>
            <w:r>
              <w:rPr>
                <w:rFonts w:hint="eastAsia"/>
                <w:sz w:val="21"/>
                <w:szCs w:val="21"/>
                <w:lang w:bidi="ar"/>
              </w:rPr>
              <w:t>≥</w:t>
            </w:r>
            <w:r>
              <w:rPr>
                <w:rFonts w:hint="eastAsia"/>
                <w:sz w:val="21"/>
                <w:szCs w:val="21"/>
              </w:rPr>
              <w:t>6</w:t>
            </w: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21"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60＞A≥50</w:t>
            </w:r>
          </w:p>
        </w:tc>
        <w:tc>
          <w:tcPr>
            <w:tcW w:w="708" w:type="dxa"/>
            <w:noWrap w:val="0"/>
            <w:vAlign w:val="center"/>
          </w:tcPr>
          <w:p>
            <w:pPr>
              <w:adjustRightInd w:val="0"/>
              <w:snapToGrid w:val="0"/>
              <w:spacing w:line="400" w:lineRule="exact"/>
              <w:jc w:val="center"/>
              <w:rPr>
                <w:sz w:val="21"/>
                <w:szCs w:val="21"/>
              </w:rPr>
            </w:pPr>
            <w:r>
              <w:rPr>
                <w:sz w:val="21"/>
                <w:szCs w:val="21"/>
              </w:rPr>
              <w:t>2</w:t>
            </w:r>
          </w:p>
        </w:tc>
        <w:tc>
          <w:tcPr>
            <w:tcW w:w="993" w:type="dxa"/>
            <w:noWrap w:val="0"/>
            <w:vAlign w:val="center"/>
          </w:tcPr>
          <w:p>
            <w:pPr>
              <w:adjustRightInd w:val="0"/>
              <w:snapToGrid w:val="0"/>
              <w:spacing w:line="400" w:lineRule="exact"/>
              <w:jc w:val="center"/>
              <w:rPr>
                <w:sz w:val="21"/>
                <w:szCs w:val="21"/>
              </w:rPr>
            </w:pPr>
            <w:r>
              <w:rPr>
                <w:rFonts w:hint="eastAsia"/>
                <w:sz w:val="21"/>
                <w:szCs w:val="21"/>
              </w:rPr>
              <w:t>/</w:t>
            </w:r>
          </w:p>
        </w:tc>
        <w:tc>
          <w:tcPr>
            <w:tcW w:w="708" w:type="dxa"/>
            <w:vMerge w:val="continue"/>
            <w:noWrap w:val="0"/>
            <w:vAlign w:val="center"/>
          </w:tcPr>
          <w:p>
            <w:pPr>
              <w:adjustRightInd w:val="0"/>
              <w:snapToGrid w:val="0"/>
              <w:spacing w:line="400" w:lineRule="exact"/>
              <w:jc w:val="center"/>
              <w:rPr>
                <w:sz w:val="21"/>
                <w:szCs w:val="21"/>
              </w:rPr>
            </w:pPr>
          </w:p>
        </w:tc>
        <w:tc>
          <w:tcPr>
            <w:tcW w:w="1061" w:type="dxa"/>
            <w:vMerge w:val="continue"/>
            <w:noWrap w:val="0"/>
            <w:vAlign w:val="center"/>
          </w:tcPr>
          <w:p>
            <w:pPr>
              <w:adjustRightInd w:val="0"/>
              <w:snapToGrid w:val="0"/>
              <w:spacing w:line="4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1042"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21</w:t>
            </w:r>
          </w:p>
        </w:tc>
        <w:tc>
          <w:tcPr>
            <w:tcW w:w="615" w:type="dxa"/>
            <w:vMerge w:val="continue"/>
            <w:noWrap w:val="0"/>
            <w:vAlign w:val="center"/>
          </w:tcPr>
          <w:p>
            <w:pPr>
              <w:adjustRightInd w:val="0"/>
              <w:snapToGrid w:val="0"/>
              <w:spacing w:line="400" w:lineRule="exact"/>
              <w:jc w:val="center"/>
              <w:rPr>
                <w:sz w:val="21"/>
                <w:szCs w:val="21"/>
              </w:rPr>
            </w:pPr>
          </w:p>
        </w:tc>
        <w:tc>
          <w:tcPr>
            <w:tcW w:w="2517" w:type="dxa"/>
            <w:noWrap w:val="0"/>
            <w:vAlign w:val="center"/>
          </w:tcPr>
          <w:p>
            <w:pPr>
              <w:adjustRightInd w:val="0"/>
              <w:snapToGrid w:val="0"/>
              <w:spacing w:line="330" w:lineRule="exact"/>
              <w:jc w:val="left"/>
              <w:rPr>
                <w:sz w:val="21"/>
                <w:szCs w:val="21"/>
              </w:rPr>
            </w:pPr>
            <w:r>
              <w:rPr>
                <w:sz w:val="21"/>
                <w:szCs w:val="21"/>
              </w:rPr>
              <w:t>无害化卫生厕所普及率</w:t>
            </w:r>
          </w:p>
        </w:tc>
        <w:tc>
          <w:tcPr>
            <w:tcW w:w="709" w:type="dxa"/>
            <w:noWrap w:val="0"/>
            <w:vAlign w:val="center"/>
          </w:tcPr>
          <w:p>
            <w:pPr>
              <w:adjustRightInd w:val="0"/>
              <w:snapToGrid w:val="0"/>
              <w:spacing w:line="33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330" w:lineRule="exact"/>
              <w:jc w:val="center"/>
              <w:rPr>
                <w:sz w:val="21"/>
                <w:szCs w:val="21"/>
                <w:lang w:bidi="ar"/>
              </w:rPr>
            </w:pPr>
            <w:r>
              <w:rPr>
                <w:sz w:val="21"/>
                <w:szCs w:val="21"/>
              </w:rPr>
              <w:t>完成区县规定的目标任务</w:t>
            </w:r>
          </w:p>
        </w:tc>
        <w:tc>
          <w:tcPr>
            <w:tcW w:w="708" w:type="dxa"/>
            <w:noWrap w:val="0"/>
            <w:vAlign w:val="center"/>
          </w:tcPr>
          <w:p>
            <w:pPr>
              <w:adjustRightInd w:val="0"/>
              <w:snapToGrid w:val="0"/>
              <w:spacing w:line="400" w:lineRule="exact"/>
              <w:jc w:val="center"/>
              <w:rPr>
                <w:sz w:val="21"/>
                <w:szCs w:val="21"/>
              </w:rPr>
            </w:pPr>
            <w:r>
              <w:rPr>
                <w:sz w:val="21"/>
                <w:szCs w:val="21"/>
              </w:rPr>
              <w:t>5</w:t>
            </w:r>
          </w:p>
        </w:tc>
        <w:tc>
          <w:tcPr>
            <w:tcW w:w="993" w:type="dxa"/>
            <w:noWrap w:val="0"/>
            <w:vAlign w:val="center"/>
          </w:tcPr>
          <w:p>
            <w:pPr>
              <w:adjustRightInd w:val="0"/>
              <w:snapToGrid w:val="0"/>
              <w:spacing w:line="400" w:lineRule="exact"/>
              <w:jc w:val="center"/>
              <w:rPr>
                <w:rFonts w:hint="eastAsia"/>
                <w:sz w:val="21"/>
                <w:szCs w:val="21"/>
              </w:rPr>
            </w:pPr>
            <w:r>
              <w:rPr>
                <w:rFonts w:hint="eastAsia"/>
                <w:sz w:val="21"/>
                <w:szCs w:val="21"/>
              </w:rPr>
              <w:t>6</w:t>
            </w:r>
            <w:r>
              <w:rPr>
                <w:sz w:val="21"/>
                <w:szCs w:val="21"/>
              </w:rPr>
              <w:t>0</w:t>
            </w:r>
            <w:r>
              <w:rPr>
                <w:rFonts w:hint="eastAsia"/>
                <w:sz w:val="21"/>
                <w:szCs w:val="21"/>
              </w:rPr>
              <w:t>，完成区级目标任务</w:t>
            </w:r>
          </w:p>
        </w:tc>
        <w:tc>
          <w:tcPr>
            <w:tcW w:w="708" w:type="dxa"/>
            <w:noWrap w:val="0"/>
            <w:vAlign w:val="center"/>
          </w:tcPr>
          <w:p>
            <w:pPr>
              <w:adjustRightInd w:val="0"/>
              <w:snapToGrid w:val="0"/>
              <w:spacing w:line="400" w:lineRule="exact"/>
              <w:jc w:val="center"/>
              <w:rPr>
                <w:sz w:val="21"/>
                <w:szCs w:val="21"/>
              </w:rPr>
            </w:pPr>
            <w:r>
              <w:rPr>
                <w:rFonts w:hint="eastAsia"/>
                <w:sz w:val="21"/>
                <w:szCs w:val="21"/>
              </w:rPr>
              <w:t>5</w:t>
            </w:r>
          </w:p>
        </w:tc>
        <w:tc>
          <w:tcPr>
            <w:tcW w:w="1061" w:type="dxa"/>
            <w:noWrap w:val="0"/>
            <w:vAlign w:val="center"/>
          </w:tcPr>
          <w:p>
            <w:pPr>
              <w:adjustRightInd w:val="0"/>
              <w:snapToGrid w:val="0"/>
              <w:spacing w:line="400" w:lineRule="exact"/>
              <w:jc w:val="center"/>
              <w:rPr>
                <w:sz w:val="21"/>
                <w:szCs w:val="21"/>
              </w:rPr>
            </w:pPr>
            <w:r>
              <w:rPr>
                <w:rFonts w:hint="eastAsia"/>
                <w:sz w:val="21"/>
                <w:szCs w:val="21"/>
              </w:rPr>
              <w:t>完成区级目标任务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680"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22</w:t>
            </w:r>
          </w:p>
        </w:tc>
        <w:tc>
          <w:tcPr>
            <w:tcW w:w="615" w:type="dxa"/>
            <w:vMerge w:val="restart"/>
            <w:noWrap w:val="0"/>
            <w:vAlign w:val="center"/>
          </w:tcPr>
          <w:p>
            <w:pPr>
              <w:adjustRightInd w:val="0"/>
              <w:snapToGrid w:val="0"/>
              <w:spacing w:line="400" w:lineRule="exact"/>
              <w:jc w:val="center"/>
              <w:rPr>
                <w:sz w:val="21"/>
                <w:szCs w:val="21"/>
              </w:rPr>
            </w:pPr>
            <w:r>
              <w:rPr>
                <w:sz w:val="21"/>
                <w:szCs w:val="21"/>
              </w:rPr>
              <w:t>生态</w:t>
            </w:r>
          </w:p>
          <w:p>
            <w:pPr>
              <w:adjustRightInd w:val="0"/>
              <w:snapToGrid w:val="0"/>
              <w:spacing w:line="400" w:lineRule="exact"/>
              <w:jc w:val="center"/>
              <w:rPr>
                <w:sz w:val="21"/>
                <w:szCs w:val="21"/>
              </w:rPr>
            </w:pPr>
            <w:r>
              <w:rPr>
                <w:sz w:val="21"/>
                <w:szCs w:val="21"/>
              </w:rPr>
              <w:t>文化</w:t>
            </w:r>
          </w:p>
        </w:tc>
        <w:tc>
          <w:tcPr>
            <w:tcW w:w="2517" w:type="dxa"/>
            <w:noWrap w:val="0"/>
            <w:vAlign w:val="center"/>
          </w:tcPr>
          <w:p>
            <w:pPr>
              <w:adjustRightInd w:val="0"/>
              <w:snapToGrid w:val="0"/>
              <w:spacing w:line="330" w:lineRule="exact"/>
              <w:jc w:val="left"/>
              <w:rPr>
                <w:sz w:val="21"/>
                <w:szCs w:val="21"/>
              </w:rPr>
            </w:pPr>
            <w:r>
              <w:rPr>
                <w:sz w:val="21"/>
                <w:szCs w:val="21"/>
              </w:rPr>
              <w:t>将生态文明培训纳入乡镇年度培训计划</w:t>
            </w:r>
          </w:p>
        </w:tc>
        <w:tc>
          <w:tcPr>
            <w:tcW w:w="709" w:type="dxa"/>
            <w:noWrap w:val="0"/>
            <w:vAlign w:val="center"/>
          </w:tcPr>
          <w:p>
            <w:pPr>
              <w:adjustRightInd w:val="0"/>
              <w:snapToGrid w:val="0"/>
              <w:spacing w:line="330" w:lineRule="exact"/>
              <w:jc w:val="center"/>
              <w:rPr>
                <w:sz w:val="21"/>
                <w:szCs w:val="21"/>
              </w:rPr>
            </w:pPr>
            <w:r>
              <w:rPr>
                <w:sz w:val="21"/>
                <w:szCs w:val="21"/>
              </w:rPr>
              <w:t>-</w:t>
            </w:r>
          </w:p>
        </w:tc>
        <w:tc>
          <w:tcPr>
            <w:tcW w:w="1276" w:type="dxa"/>
            <w:noWrap w:val="0"/>
            <w:vAlign w:val="center"/>
          </w:tcPr>
          <w:p>
            <w:pPr>
              <w:adjustRightInd w:val="0"/>
              <w:snapToGrid w:val="0"/>
              <w:spacing w:line="330" w:lineRule="exact"/>
              <w:jc w:val="center"/>
              <w:rPr>
                <w:sz w:val="21"/>
                <w:szCs w:val="21"/>
              </w:rPr>
            </w:pPr>
            <w:r>
              <w:rPr>
                <w:sz w:val="21"/>
                <w:szCs w:val="21"/>
              </w:rPr>
              <w:t>是</w:t>
            </w:r>
          </w:p>
        </w:tc>
        <w:tc>
          <w:tcPr>
            <w:tcW w:w="708" w:type="dxa"/>
            <w:noWrap w:val="0"/>
            <w:vAlign w:val="center"/>
          </w:tcPr>
          <w:p>
            <w:pPr>
              <w:adjustRightInd w:val="0"/>
              <w:snapToGrid w:val="0"/>
              <w:spacing w:line="400" w:lineRule="exact"/>
              <w:jc w:val="center"/>
              <w:rPr>
                <w:sz w:val="21"/>
                <w:szCs w:val="21"/>
              </w:rPr>
            </w:pPr>
            <w:r>
              <w:rPr>
                <w:sz w:val="21"/>
                <w:szCs w:val="21"/>
              </w:rPr>
              <w:t>3</w:t>
            </w:r>
          </w:p>
        </w:tc>
        <w:tc>
          <w:tcPr>
            <w:tcW w:w="993" w:type="dxa"/>
            <w:noWrap w:val="0"/>
            <w:vAlign w:val="center"/>
          </w:tcPr>
          <w:p>
            <w:pPr>
              <w:adjustRightInd w:val="0"/>
              <w:snapToGrid w:val="0"/>
              <w:spacing w:line="330" w:lineRule="exact"/>
              <w:jc w:val="center"/>
              <w:rPr>
                <w:sz w:val="21"/>
                <w:szCs w:val="21"/>
              </w:rPr>
            </w:pPr>
            <w:r>
              <w:rPr>
                <w:sz w:val="21"/>
                <w:szCs w:val="21"/>
              </w:rPr>
              <w:t>是</w:t>
            </w:r>
          </w:p>
        </w:tc>
        <w:tc>
          <w:tcPr>
            <w:tcW w:w="708" w:type="dxa"/>
            <w:noWrap w:val="0"/>
            <w:vAlign w:val="center"/>
          </w:tcPr>
          <w:p>
            <w:pPr>
              <w:adjustRightInd w:val="0"/>
              <w:snapToGrid w:val="0"/>
              <w:spacing w:line="400" w:lineRule="exact"/>
              <w:jc w:val="center"/>
              <w:rPr>
                <w:sz w:val="21"/>
                <w:szCs w:val="21"/>
              </w:rPr>
            </w:pPr>
            <w:r>
              <w:rPr>
                <w:rFonts w:hint="eastAsia"/>
                <w:sz w:val="21"/>
                <w:szCs w:val="21"/>
              </w:rPr>
              <w:t>3</w:t>
            </w:r>
          </w:p>
        </w:tc>
        <w:tc>
          <w:tcPr>
            <w:tcW w:w="1061" w:type="dxa"/>
            <w:noWrap w:val="0"/>
            <w:vAlign w:val="center"/>
          </w:tcPr>
          <w:p>
            <w:pPr>
              <w:adjustRightInd w:val="0"/>
              <w:snapToGrid w:val="0"/>
              <w:spacing w:line="400" w:lineRule="exact"/>
              <w:jc w:val="center"/>
              <w:rPr>
                <w:rFonts w:hint="eastAsia"/>
                <w:sz w:val="21"/>
                <w:szCs w:val="21"/>
              </w:rPr>
            </w:pPr>
            <w:r>
              <w:rPr>
                <w:rFonts w:hint="eastAsia"/>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680"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23</w:t>
            </w:r>
          </w:p>
        </w:tc>
        <w:tc>
          <w:tcPr>
            <w:tcW w:w="615" w:type="dxa"/>
            <w:vMerge w:val="continue"/>
            <w:noWrap w:val="0"/>
            <w:vAlign w:val="center"/>
          </w:tcPr>
          <w:p>
            <w:pPr>
              <w:adjustRightInd w:val="0"/>
              <w:snapToGrid w:val="0"/>
              <w:spacing w:line="400" w:lineRule="exact"/>
              <w:jc w:val="center"/>
              <w:rPr>
                <w:sz w:val="21"/>
                <w:szCs w:val="21"/>
              </w:rPr>
            </w:pPr>
          </w:p>
        </w:tc>
        <w:tc>
          <w:tcPr>
            <w:tcW w:w="2517" w:type="dxa"/>
            <w:noWrap w:val="0"/>
            <w:vAlign w:val="center"/>
          </w:tcPr>
          <w:p>
            <w:pPr>
              <w:adjustRightInd w:val="0"/>
              <w:snapToGrid w:val="0"/>
              <w:spacing w:line="330" w:lineRule="exact"/>
              <w:jc w:val="left"/>
              <w:rPr>
                <w:sz w:val="21"/>
                <w:szCs w:val="21"/>
              </w:rPr>
            </w:pPr>
            <w:r>
              <w:rPr>
                <w:sz w:val="21"/>
                <w:szCs w:val="21"/>
              </w:rPr>
              <w:t>生态文明建设宣传工作</w:t>
            </w:r>
          </w:p>
        </w:tc>
        <w:tc>
          <w:tcPr>
            <w:tcW w:w="709" w:type="dxa"/>
            <w:noWrap w:val="0"/>
            <w:vAlign w:val="center"/>
          </w:tcPr>
          <w:p>
            <w:pPr>
              <w:adjustRightInd w:val="0"/>
              <w:snapToGrid w:val="0"/>
              <w:spacing w:line="330" w:lineRule="exact"/>
              <w:jc w:val="center"/>
              <w:rPr>
                <w:sz w:val="21"/>
                <w:szCs w:val="21"/>
              </w:rPr>
            </w:pPr>
            <w:r>
              <w:rPr>
                <w:sz w:val="21"/>
                <w:szCs w:val="21"/>
              </w:rPr>
              <w:t>-</w:t>
            </w:r>
          </w:p>
        </w:tc>
        <w:tc>
          <w:tcPr>
            <w:tcW w:w="1276" w:type="dxa"/>
            <w:noWrap w:val="0"/>
            <w:vAlign w:val="center"/>
          </w:tcPr>
          <w:p>
            <w:pPr>
              <w:adjustRightInd w:val="0"/>
              <w:snapToGrid w:val="0"/>
              <w:spacing w:line="330" w:lineRule="exact"/>
              <w:jc w:val="center"/>
              <w:rPr>
                <w:sz w:val="21"/>
                <w:szCs w:val="21"/>
              </w:rPr>
            </w:pPr>
            <w:r>
              <w:rPr>
                <w:sz w:val="21"/>
                <w:szCs w:val="21"/>
              </w:rPr>
              <w:t>开展</w:t>
            </w:r>
          </w:p>
        </w:tc>
        <w:tc>
          <w:tcPr>
            <w:tcW w:w="708" w:type="dxa"/>
            <w:noWrap w:val="0"/>
            <w:vAlign w:val="center"/>
          </w:tcPr>
          <w:p>
            <w:pPr>
              <w:adjustRightInd w:val="0"/>
              <w:snapToGrid w:val="0"/>
              <w:spacing w:line="400" w:lineRule="exact"/>
              <w:jc w:val="center"/>
              <w:rPr>
                <w:sz w:val="21"/>
                <w:szCs w:val="21"/>
              </w:rPr>
            </w:pPr>
            <w:r>
              <w:rPr>
                <w:sz w:val="21"/>
                <w:szCs w:val="21"/>
              </w:rPr>
              <w:t>3</w:t>
            </w:r>
          </w:p>
        </w:tc>
        <w:tc>
          <w:tcPr>
            <w:tcW w:w="993" w:type="dxa"/>
            <w:noWrap w:val="0"/>
            <w:vAlign w:val="center"/>
          </w:tcPr>
          <w:p>
            <w:pPr>
              <w:adjustRightInd w:val="0"/>
              <w:snapToGrid w:val="0"/>
              <w:spacing w:line="330" w:lineRule="exact"/>
              <w:jc w:val="center"/>
              <w:rPr>
                <w:sz w:val="21"/>
                <w:szCs w:val="21"/>
              </w:rPr>
            </w:pPr>
            <w:r>
              <w:rPr>
                <w:sz w:val="21"/>
                <w:szCs w:val="21"/>
              </w:rPr>
              <w:t>开展</w:t>
            </w:r>
          </w:p>
        </w:tc>
        <w:tc>
          <w:tcPr>
            <w:tcW w:w="708" w:type="dxa"/>
            <w:noWrap w:val="0"/>
            <w:vAlign w:val="center"/>
          </w:tcPr>
          <w:p>
            <w:pPr>
              <w:adjustRightInd w:val="0"/>
              <w:snapToGrid w:val="0"/>
              <w:spacing w:line="400" w:lineRule="exact"/>
              <w:jc w:val="center"/>
              <w:rPr>
                <w:sz w:val="21"/>
                <w:szCs w:val="21"/>
              </w:rPr>
            </w:pPr>
            <w:r>
              <w:rPr>
                <w:rFonts w:hint="eastAsia"/>
                <w:sz w:val="21"/>
                <w:szCs w:val="21"/>
              </w:rPr>
              <w:t>3</w:t>
            </w:r>
          </w:p>
        </w:tc>
        <w:tc>
          <w:tcPr>
            <w:tcW w:w="1061" w:type="dxa"/>
            <w:noWrap w:val="0"/>
            <w:vAlign w:val="center"/>
          </w:tcPr>
          <w:p>
            <w:pPr>
              <w:adjustRightInd w:val="0"/>
              <w:snapToGrid w:val="0"/>
              <w:spacing w:line="400" w:lineRule="exact"/>
              <w:jc w:val="center"/>
              <w:rPr>
                <w:rFonts w:hint="eastAsia"/>
                <w:sz w:val="21"/>
                <w:szCs w:val="21"/>
              </w:rPr>
            </w:pPr>
            <w:r>
              <w:rPr>
                <w:rFonts w:hint="eastAsia"/>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6"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24</w:t>
            </w:r>
          </w:p>
        </w:tc>
        <w:tc>
          <w:tcPr>
            <w:tcW w:w="615" w:type="dxa"/>
            <w:vMerge w:val="continue"/>
            <w:noWrap w:val="0"/>
            <w:vAlign w:val="center"/>
          </w:tcPr>
          <w:p>
            <w:pPr>
              <w:adjustRightInd w:val="0"/>
              <w:snapToGrid w:val="0"/>
              <w:spacing w:line="400" w:lineRule="exact"/>
              <w:jc w:val="center"/>
              <w:rPr>
                <w:sz w:val="21"/>
                <w:szCs w:val="21"/>
              </w:rPr>
            </w:pPr>
          </w:p>
        </w:tc>
        <w:tc>
          <w:tcPr>
            <w:tcW w:w="2517" w:type="dxa"/>
            <w:noWrap w:val="0"/>
            <w:vAlign w:val="center"/>
          </w:tcPr>
          <w:p>
            <w:pPr>
              <w:adjustRightInd w:val="0"/>
              <w:snapToGrid w:val="0"/>
              <w:spacing w:line="330" w:lineRule="exact"/>
              <w:jc w:val="left"/>
              <w:rPr>
                <w:sz w:val="21"/>
                <w:szCs w:val="21"/>
              </w:rPr>
            </w:pPr>
            <w:r>
              <w:rPr>
                <w:sz w:val="21"/>
                <w:szCs w:val="21"/>
              </w:rPr>
              <w:t>中小学开展生态文明教育</w:t>
            </w:r>
          </w:p>
        </w:tc>
        <w:tc>
          <w:tcPr>
            <w:tcW w:w="709" w:type="dxa"/>
            <w:noWrap w:val="0"/>
            <w:vAlign w:val="center"/>
          </w:tcPr>
          <w:p>
            <w:pPr>
              <w:adjustRightInd w:val="0"/>
              <w:snapToGrid w:val="0"/>
              <w:spacing w:line="330" w:lineRule="exact"/>
              <w:jc w:val="center"/>
              <w:rPr>
                <w:sz w:val="21"/>
                <w:szCs w:val="21"/>
              </w:rPr>
            </w:pPr>
            <w:r>
              <w:rPr>
                <w:sz w:val="21"/>
                <w:szCs w:val="21"/>
              </w:rPr>
              <w:t>-</w:t>
            </w:r>
          </w:p>
        </w:tc>
        <w:tc>
          <w:tcPr>
            <w:tcW w:w="1276" w:type="dxa"/>
            <w:noWrap w:val="0"/>
            <w:vAlign w:val="center"/>
          </w:tcPr>
          <w:p>
            <w:pPr>
              <w:adjustRightInd w:val="0"/>
              <w:snapToGrid w:val="0"/>
              <w:spacing w:line="330" w:lineRule="exact"/>
              <w:jc w:val="center"/>
              <w:rPr>
                <w:sz w:val="21"/>
                <w:szCs w:val="21"/>
              </w:rPr>
            </w:pPr>
            <w:r>
              <w:rPr>
                <w:sz w:val="21"/>
                <w:szCs w:val="21"/>
              </w:rPr>
              <w:t>开展</w:t>
            </w:r>
          </w:p>
        </w:tc>
        <w:tc>
          <w:tcPr>
            <w:tcW w:w="708" w:type="dxa"/>
            <w:noWrap w:val="0"/>
            <w:vAlign w:val="center"/>
          </w:tcPr>
          <w:p>
            <w:pPr>
              <w:adjustRightInd w:val="0"/>
              <w:snapToGrid w:val="0"/>
              <w:spacing w:line="400" w:lineRule="exact"/>
              <w:jc w:val="center"/>
              <w:rPr>
                <w:sz w:val="21"/>
                <w:szCs w:val="21"/>
              </w:rPr>
            </w:pPr>
            <w:r>
              <w:rPr>
                <w:sz w:val="21"/>
                <w:szCs w:val="21"/>
              </w:rPr>
              <w:t>3</w:t>
            </w:r>
          </w:p>
        </w:tc>
        <w:tc>
          <w:tcPr>
            <w:tcW w:w="993" w:type="dxa"/>
            <w:noWrap w:val="0"/>
            <w:vAlign w:val="center"/>
          </w:tcPr>
          <w:p>
            <w:pPr>
              <w:adjustRightInd w:val="0"/>
              <w:snapToGrid w:val="0"/>
              <w:spacing w:line="330" w:lineRule="exact"/>
              <w:jc w:val="center"/>
              <w:rPr>
                <w:sz w:val="21"/>
                <w:szCs w:val="21"/>
              </w:rPr>
            </w:pPr>
            <w:r>
              <w:rPr>
                <w:sz w:val="21"/>
                <w:szCs w:val="21"/>
              </w:rPr>
              <w:t>开展</w:t>
            </w:r>
          </w:p>
        </w:tc>
        <w:tc>
          <w:tcPr>
            <w:tcW w:w="708" w:type="dxa"/>
            <w:noWrap w:val="0"/>
            <w:vAlign w:val="center"/>
          </w:tcPr>
          <w:p>
            <w:pPr>
              <w:adjustRightInd w:val="0"/>
              <w:snapToGrid w:val="0"/>
              <w:spacing w:line="400" w:lineRule="exact"/>
              <w:jc w:val="center"/>
              <w:rPr>
                <w:sz w:val="21"/>
                <w:szCs w:val="21"/>
              </w:rPr>
            </w:pPr>
            <w:r>
              <w:rPr>
                <w:rFonts w:hint="eastAsia"/>
                <w:sz w:val="21"/>
                <w:szCs w:val="21"/>
              </w:rPr>
              <w:t>3</w:t>
            </w:r>
          </w:p>
        </w:tc>
        <w:tc>
          <w:tcPr>
            <w:tcW w:w="1061" w:type="dxa"/>
            <w:noWrap w:val="0"/>
            <w:vAlign w:val="center"/>
          </w:tcPr>
          <w:p>
            <w:pPr>
              <w:adjustRightInd w:val="0"/>
              <w:snapToGrid w:val="0"/>
              <w:spacing w:line="400" w:lineRule="exact"/>
              <w:jc w:val="center"/>
              <w:rPr>
                <w:rFonts w:hint="eastAsia"/>
                <w:sz w:val="21"/>
                <w:szCs w:val="21"/>
              </w:rPr>
            </w:pPr>
            <w:r>
              <w:rPr>
                <w:rFonts w:hint="eastAsia"/>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883"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25</w:t>
            </w:r>
          </w:p>
        </w:tc>
        <w:tc>
          <w:tcPr>
            <w:tcW w:w="615" w:type="dxa"/>
            <w:vMerge w:val="continue"/>
            <w:noWrap w:val="0"/>
            <w:vAlign w:val="center"/>
          </w:tcPr>
          <w:p>
            <w:pPr>
              <w:adjustRightInd w:val="0"/>
              <w:snapToGrid w:val="0"/>
              <w:spacing w:line="400" w:lineRule="exact"/>
              <w:jc w:val="center"/>
              <w:rPr>
                <w:sz w:val="21"/>
                <w:szCs w:val="21"/>
              </w:rPr>
            </w:pPr>
          </w:p>
        </w:tc>
        <w:tc>
          <w:tcPr>
            <w:tcW w:w="2517" w:type="dxa"/>
            <w:noWrap w:val="0"/>
            <w:vAlign w:val="center"/>
          </w:tcPr>
          <w:p>
            <w:pPr>
              <w:adjustRightInd w:val="0"/>
              <w:snapToGrid w:val="0"/>
              <w:spacing w:line="330" w:lineRule="exact"/>
              <w:jc w:val="left"/>
              <w:rPr>
                <w:sz w:val="21"/>
                <w:szCs w:val="21"/>
                <w:lang w:bidi="ar"/>
              </w:rPr>
            </w:pPr>
            <w:r>
              <w:rPr>
                <w:sz w:val="21"/>
                <w:szCs w:val="21"/>
              </w:rPr>
              <w:t>制定实施有关节约资源和保护环境村规民约的</w:t>
            </w:r>
            <w:r>
              <w:rPr>
                <w:color w:val="auto"/>
                <w:sz w:val="21"/>
                <w:szCs w:val="21"/>
              </w:rPr>
              <w:t>行政村</w:t>
            </w:r>
            <w:r>
              <w:rPr>
                <w:sz w:val="21"/>
                <w:szCs w:val="21"/>
              </w:rPr>
              <w:t>比例</w:t>
            </w:r>
          </w:p>
        </w:tc>
        <w:tc>
          <w:tcPr>
            <w:tcW w:w="709" w:type="dxa"/>
            <w:noWrap w:val="0"/>
            <w:vAlign w:val="center"/>
          </w:tcPr>
          <w:p>
            <w:pPr>
              <w:adjustRightInd w:val="0"/>
              <w:snapToGrid w:val="0"/>
              <w:spacing w:line="330" w:lineRule="exact"/>
              <w:jc w:val="center"/>
              <w:rPr>
                <w:sz w:val="21"/>
                <w:szCs w:val="21"/>
              </w:rPr>
            </w:pPr>
            <w:r>
              <w:rPr>
                <w:sz w:val="21"/>
                <w:szCs w:val="21"/>
              </w:rPr>
              <w:t>-</w:t>
            </w:r>
          </w:p>
        </w:tc>
        <w:tc>
          <w:tcPr>
            <w:tcW w:w="1276" w:type="dxa"/>
            <w:noWrap w:val="0"/>
            <w:vAlign w:val="center"/>
          </w:tcPr>
          <w:p>
            <w:pPr>
              <w:adjustRightInd w:val="0"/>
              <w:snapToGrid w:val="0"/>
              <w:spacing w:line="330" w:lineRule="exact"/>
              <w:jc w:val="center"/>
              <w:rPr>
                <w:sz w:val="21"/>
                <w:szCs w:val="21"/>
                <w:lang w:bidi="ar"/>
              </w:rPr>
            </w:pPr>
            <w:r>
              <w:rPr>
                <w:sz w:val="21"/>
                <w:szCs w:val="21"/>
              </w:rPr>
              <w:t>100</w:t>
            </w:r>
          </w:p>
        </w:tc>
        <w:tc>
          <w:tcPr>
            <w:tcW w:w="708" w:type="dxa"/>
            <w:noWrap w:val="0"/>
            <w:vAlign w:val="center"/>
          </w:tcPr>
          <w:p>
            <w:pPr>
              <w:adjustRightInd w:val="0"/>
              <w:snapToGrid w:val="0"/>
              <w:spacing w:line="400" w:lineRule="exact"/>
              <w:jc w:val="center"/>
              <w:rPr>
                <w:sz w:val="21"/>
                <w:szCs w:val="21"/>
                <w:lang w:bidi="ar"/>
              </w:rPr>
            </w:pPr>
            <w:r>
              <w:rPr>
                <w:sz w:val="21"/>
                <w:szCs w:val="21"/>
                <w:lang w:bidi="ar"/>
              </w:rPr>
              <w:t>3</w:t>
            </w:r>
          </w:p>
        </w:tc>
        <w:tc>
          <w:tcPr>
            <w:tcW w:w="993" w:type="dxa"/>
            <w:noWrap w:val="0"/>
            <w:vAlign w:val="center"/>
          </w:tcPr>
          <w:p>
            <w:pPr>
              <w:adjustRightInd w:val="0"/>
              <w:snapToGrid w:val="0"/>
              <w:spacing w:line="330" w:lineRule="exact"/>
              <w:jc w:val="center"/>
              <w:rPr>
                <w:sz w:val="21"/>
                <w:szCs w:val="21"/>
                <w:lang w:bidi="ar"/>
              </w:rPr>
            </w:pPr>
            <w:r>
              <w:rPr>
                <w:sz w:val="21"/>
                <w:szCs w:val="21"/>
              </w:rPr>
              <w:t>100</w:t>
            </w:r>
          </w:p>
        </w:tc>
        <w:tc>
          <w:tcPr>
            <w:tcW w:w="708" w:type="dxa"/>
            <w:noWrap w:val="0"/>
            <w:vAlign w:val="center"/>
          </w:tcPr>
          <w:p>
            <w:pPr>
              <w:adjustRightInd w:val="0"/>
              <w:snapToGrid w:val="0"/>
              <w:spacing w:line="400" w:lineRule="exact"/>
              <w:jc w:val="center"/>
              <w:rPr>
                <w:sz w:val="21"/>
                <w:szCs w:val="21"/>
                <w:lang w:bidi="ar"/>
              </w:rPr>
            </w:pPr>
            <w:r>
              <w:rPr>
                <w:rFonts w:hint="eastAsia"/>
                <w:sz w:val="21"/>
                <w:szCs w:val="21"/>
                <w:lang w:bidi="ar"/>
              </w:rPr>
              <w:t>3</w:t>
            </w:r>
          </w:p>
        </w:tc>
        <w:tc>
          <w:tcPr>
            <w:tcW w:w="1061" w:type="dxa"/>
            <w:noWrap w:val="0"/>
            <w:vAlign w:val="center"/>
          </w:tcPr>
          <w:p>
            <w:pPr>
              <w:adjustRightInd w:val="0"/>
              <w:snapToGrid w:val="0"/>
              <w:spacing w:line="400" w:lineRule="exact"/>
              <w:jc w:val="center"/>
              <w:rPr>
                <w:rFonts w:hint="eastAsia"/>
                <w:sz w:val="21"/>
                <w:szCs w:val="21"/>
                <w:lang w:bidi="ar"/>
              </w:rPr>
            </w:pPr>
            <w:r>
              <w:rPr>
                <w:rFonts w:hint="eastAsia"/>
                <w:sz w:val="21"/>
                <w:szCs w:val="21"/>
                <w:lang w:bidi="ar"/>
              </w:rPr>
              <w:t>1</w:t>
            </w:r>
            <w:r>
              <w:rPr>
                <w:sz w:val="21"/>
                <w:szCs w:val="21"/>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71" w:hRule="atLeast"/>
          <w:jc w:val="center"/>
        </w:trPr>
        <w:tc>
          <w:tcPr>
            <w:tcW w:w="7386" w:type="dxa"/>
            <w:gridSpan w:val="7"/>
            <w:noWrap w:val="0"/>
            <w:vAlign w:val="center"/>
          </w:tcPr>
          <w:p>
            <w:pPr>
              <w:adjustRightInd w:val="0"/>
              <w:snapToGrid w:val="0"/>
              <w:spacing w:line="330" w:lineRule="exact"/>
              <w:jc w:val="center"/>
              <w:rPr>
                <w:sz w:val="21"/>
                <w:szCs w:val="21"/>
              </w:rPr>
            </w:pPr>
            <w:r>
              <w:rPr>
                <w:rFonts w:hint="eastAsia"/>
                <w:sz w:val="21"/>
                <w:szCs w:val="21"/>
              </w:rPr>
              <w:t>合计评分</w:t>
            </w:r>
          </w:p>
        </w:tc>
        <w:tc>
          <w:tcPr>
            <w:tcW w:w="708" w:type="dxa"/>
            <w:noWrap w:val="0"/>
            <w:vAlign w:val="center"/>
          </w:tcPr>
          <w:p>
            <w:pPr>
              <w:adjustRightInd w:val="0"/>
              <w:snapToGrid w:val="0"/>
              <w:spacing w:line="400" w:lineRule="exact"/>
              <w:jc w:val="center"/>
              <w:rPr>
                <w:rFonts w:hint="eastAsia"/>
                <w:sz w:val="21"/>
                <w:szCs w:val="21"/>
                <w:lang w:bidi="ar"/>
              </w:rPr>
            </w:pPr>
            <w:r>
              <w:rPr>
                <w:sz w:val="21"/>
                <w:szCs w:val="21"/>
                <w:lang w:bidi="ar"/>
              </w:rPr>
              <w:t>93</w:t>
            </w:r>
          </w:p>
        </w:tc>
        <w:tc>
          <w:tcPr>
            <w:tcW w:w="1061" w:type="dxa"/>
            <w:noWrap w:val="0"/>
            <w:vAlign w:val="center"/>
          </w:tcPr>
          <w:p>
            <w:pPr>
              <w:adjustRightInd w:val="0"/>
              <w:snapToGrid w:val="0"/>
              <w:spacing w:line="400" w:lineRule="exact"/>
              <w:jc w:val="center"/>
              <w:rPr>
                <w:rFonts w:hint="eastAsia"/>
                <w:sz w:val="21"/>
                <w:szCs w:val="21"/>
                <w:lang w:bidi="ar"/>
              </w:rPr>
            </w:pPr>
          </w:p>
        </w:tc>
      </w:tr>
    </w:tbl>
    <w:p>
      <w:pPr>
        <w:ind w:firstLine="634" w:firstLineChars="200"/>
        <w:jc w:val="left"/>
        <w:outlineLvl w:val="1"/>
        <w:rPr>
          <w:rFonts w:hint="eastAsia" w:eastAsia="方正楷体_GBK"/>
          <w:szCs w:val="32"/>
        </w:rPr>
      </w:pPr>
      <w:bookmarkStart w:id="27" w:name="_Toc106638410"/>
      <w:r>
        <w:rPr>
          <w:rFonts w:hint="eastAsia" w:eastAsia="方正楷体_GBK"/>
          <w:szCs w:val="32"/>
        </w:rPr>
        <w:t>3</w:t>
      </w:r>
      <w:r>
        <w:rPr>
          <w:rFonts w:eastAsia="方正楷体_GBK"/>
          <w:szCs w:val="32"/>
        </w:rPr>
        <w:t>.3</w:t>
      </w:r>
      <w:r>
        <w:rPr>
          <w:rFonts w:hint="eastAsia" w:eastAsia="方正楷体_GBK"/>
          <w:szCs w:val="32"/>
        </w:rPr>
        <w:t>指标现状分析</w:t>
      </w:r>
      <w:bookmarkEnd w:id="27"/>
    </w:p>
    <w:p>
      <w:pPr>
        <w:ind w:firstLine="634" w:firstLineChars="200"/>
        <w:rPr>
          <w:szCs w:val="32"/>
        </w:rPr>
      </w:pPr>
      <w:r>
        <w:rPr>
          <w:rFonts w:hint="eastAsia"/>
          <w:szCs w:val="32"/>
        </w:rPr>
        <w:t>根据《重庆市生态环境局办公室关于印发&lt;重庆市生态文明建设示范区县管理规程及建设指标&gt;等三项制度的通知》（渝环办〔2020〕8号）要求</w:t>
      </w:r>
      <w:r>
        <w:rPr>
          <w:rFonts w:hint="eastAsia"/>
          <w:color w:val="auto"/>
          <w:szCs w:val="32"/>
        </w:rPr>
        <w:t>对</w:t>
      </w:r>
      <w:r>
        <w:rPr>
          <w:rFonts w:hint="eastAsia"/>
          <w:szCs w:val="32"/>
        </w:rPr>
        <w:t>金龙镇基本条件及各项建设指标进行逐项分析，从2021年的现状来看，金龙镇25项指标中有23项指标已达到要求，综合得分为</w:t>
      </w:r>
      <w:r>
        <w:rPr>
          <w:szCs w:val="32"/>
        </w:rPr>
        <w:t>93</w:t>
      </w:r>
      <w:r>
        <w:rPr>
          <w:rFonts w:hint="eastAsia"/>
          <w:szCs w:val="32"/>
        </w:rPr>
        <w:t>分，基本达到重庆市生态文明建设示范乡镇考核要求。</w:t>
      </w:r>
    </w:p>
    <w:p>
      <w:pPr>
        <w:ind w:firstLine="634" w:firstLineChars="200"/>
        <w:rPr>
          <w:szCs w:val="32"/>
        </w:rPr>
      </w:pPr>
      <w:r>
        <w:rPr>
          <w:rFonts w:hint="eastAsia"/>
          <w:szCs w:val="32"/>
        </w:rPr>
        <w:t>两项未达标指标分别为制定重庆市生态文明建设示范创建规划或实施方案、“两品一标”农产品总产量占比，其中，制定印发规划后总计得分96分，金龙镇将达到重庆市生态文明建设示范乡镇考核要求，同时，预计2023年“两品一标”农产品总产量占比有望达到10%，将额外得到2分。</w:t>
      </w:r>
    </w:p>
    <w:p>
      <w:pPr>
        <w:jc w:val="center"/>
        <w:rPr>
          <w:rFonts w:eastAsia="方正黑体_GBK"/>
          <w:sz w:val="28"/>
          <w:szCs w:val="28"/>
        </w:rPr>
      </w:pPr>
      <w:r>
        <w:rPr>
          <w:rFonts w:eastAsia="方正黑体_GBK"/>
          <w:sz w:val="28"/>
          <w:szCs w:val="28"/>
        </w:rPr>
        <w:t xml:space="preserve">表3-2 </w:t>
      </w:r>
      <w:r>
        <w:rPr>
          <w:rFonts w:hint="eastAsia" w:eastAsia="方正黑体_GBK"/>
          <w:sz w:val="28"/>
          <w:szCs w:val="28"/>
        </w:rPr>
        <w:t>金龙镇</w:t>
      </w:r>
      <w:r>
        <w:rPr>
          <w:rFonts w:eastAsia="方正黑体_GBK"/>
          <w:sz w:val="28"/>
          <w:szCs w:val="28"/>
        </w:rPr>
        <w:t>市级生态文明建设示范</w:t>
      </w:r>
      <w:r>
        <w:rPr>
          <w:rFonts w:hint="eastAsia" w:eastAsia="方正黑体_GBK"/>
          <w:sz w:val="28"/>
          <w:szCs w:val="28"/>
        </w:rPr>
        <w:t>镇</w:t>
      </w:r>
      <w:r>
        <w:rPr>
          <w:rFonts w:eastAsia="方正黑体_GBK"/>
          <w:sz w:val="28"/>
          <w:szCs w:val="28"/>
        </w:rPr>
        <w:t>创建现状值评分情况表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4223"/>
        <w:gridCol w:w="3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1135" w:type="dxa"/>
            <w:noWrap w:val="0"/>
            <w:vAlign w:val="center"/>
          </w:tcPr>
          <w:p>
            <w:pPr>
              <w:adjustRightInd w:val="0"/>
              <w:snapToGrid w:val="0"/>
              <w:jc w:val="center"/>
              <w:rPr>
                <w:rFonts w:eastAsia="方正黑体_GBK"/>
                <w:bCs/>
                <w:sz w:val="21"/>
                <w:szCs w:val="21"/>
              </w:rPr>
            </w:pPr>
            <w:bookmarkStart w:id="28" w:name="_Toc55381322"/>
            <w:bookmarkStart w:id="29" w:name="_Toc16526"/>
            <w:bookmarkStart w:id="30" w:name="_Toc81572444"/>
            <w:bookmarkStart w:id="31" w:name="_Toc16209"/>
            <w:bookmarkStart w:id="32" w:name="_Toc30011"/>
            <w:r>
              <w:rPr>
                <w:rFonts w:eastAsia="方正黑体_GBK"/>
                <w:bCs/>
                <w:sz w:val="21"/>
                <w:szCs w:val="21"/>
              </w:rPr>
              <w:t>评分情况</w:t>
            </w:r>
          </w:p>
        </w:tc>
        <w:tc>
          <w:tcPr>
            <w:tcW w:w="7934" w:type="dxa"/>
            <w:gridSpan w:val="2"/>
            <w:noWrap w:val="0"/>
            <w:vAlign w:val="center"/>
          </w:tcPr>
          <w:p>
            <w:pPr>
              <w:adjustRightInd w:val="0"/>
              <w:snapToGrid w:val="0"/>
              <w:jc w:val="center"/>
              <w:rPr>
                <w:rFonts w:eastAsia="方正黑体_GBK"/>
                <w:bCs/>
                <w:sz w:val="21"/>
                <w:szCs w:val="21"/>
              </w:rPr>
            </w:pPr>
            <w:r>
              <w:rPr>
                <w:rFonts w:eastAsia="方正黑体_GBK"/>
                <w:bCs/>
                <w:sz w:val="21"/>
                <w:szCs w:val="21"/>
              </w:rPr>
              <w:t>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noWrap w:val="0"/>
            <w:vAlign w:val="center"/>
          </w:tcPr>
          <w:p>
            <w:pPr>
              <w:autoSpaceDE w:val="0"/>
              <w:autoSpaceDN w:val="0"/>
              <w:adjustRightInd w:val="0"/>
              <w:spacing w:line="320" w:lineRule="exact"/>
              <w:jc w:val="center"/>
              <w:rPr>
                <w:spacing w:val="-5"/>
                <w:kern w:val="0"/>
                <w:sz w:val="21"/>
                <w:szCs w:val="21"/>
              </w:rPr>
            </w:pPr>
            <w:r>
              <w:rPr>
                <w:rFonts w:hint="eastAsia"/>
                <w:spacing w:val="-5"/>
                <w:kern w:val="0"/>
                <w:sz w:val="21"/>
                <w:szCs w:val="21"/>
              </w:rPr>
              <w:t>近一年存在下列情况的地区不得申报（不存在）</w:t>
            </w:r>
          </w:p>
        </w:tc>
        <w:tc>
          <w:tcPr>
            <w:tcW w:w="7934" w:type="dxa"/>
            <w:gridSpan w:val="2"/>
            <w:noWrap w:val="0"/>
            <w:vAlign w:val="center"/>
          </w:tcPr>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（一）未消除贫困人口、返贫现象明显的；（不存在）</w:t>
            </w:r>
          </w:p>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（二）各级各类生态环境保护督察中存在重大问题，且未按计划完成整改任务的；（不存在）</w:t>
            </w:r>
          </w:p>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（三）发生重、特大突发环境事件或生态破坏事件的，以及因重大生态环境问题被挂牌督办或实施区域限批的。（不存在）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noWrap w:val="0"/>
            <w:vAlign w:val="center"/>
          </w:tcPr>
          <w:p>
            <w:pPr>
              <w:autoSpaceDE w:val="0"/>
              <w:autoSpaceDN w:val="0"/>
              <w:adjustRightInd w:val="0"/>
              <w:spacing w:line="320" w:lineRule="exact"/>
              <w:jc w:val="center"/>
              <w:rPr>
                <w:spacing w:val="-5"/>
                <w:kern w:val="0"/>
                <w:sz w:val="21"/>
                <w:szCs w:val="21"/>
              </w:rPr>
            </w:pPr>
            <w:r>
              <w:rPr>
                <w:spacing w:val="-5"/>
                <w:kern w:val="0"/>
                <w:sz w:val="21"/>
                <w:szCs w:val="21"/>
              </w:rPr>
              <w:t>已达标</w:t>
            </w:r>
          </w:p>
          <w:p>
            <w:pPr>
              <w:autoSpaceDE w:val="0"/>
              <w:autoSpaceDN w:val="0"/>
              <w:adjustRightInd w:val="0"/>
              <w:spacing w:line="320" w:lineRule="exact"/>
              <w:jc w:val="center"/>
              <w:rPr>
                <w:spacing w:val="-5"/>
                <w:kern w:val="0"/>
                <w:sz w:val="21"/>
                <w:szCs w:val="21"/>
              </w:rPr>
            </w:pPr>
            <w:r>
              <w:rPr>
                <w:spacing w:val="-5"/>
                <w:kern w:val="0"/>
                <w:sz w:val="21"/>
                <w:szCs w:val="21"/>
              </w:rPr>
              <w:t>（93分）</w:t>
            </w:r>
          </w:p>
        </w:tc>
        <w:tc>
          <w:tcPr>
            <w:tcW w:w="4223" w:type="dxa"/>
            <w:noWrap w:val="0"/>
            <w:vAlign w:val="center"/>
          </w:tcPr>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w:t>
            </w:r>
            <w:r>
              <w:rPr>
                <w:rFonts w:hint="eastAsia"/>
                <w:spacing w:val="-5"/>
                <w:kern w:val="0"/>
                <w:sz w:val="21"/>
                <w:szCs w:val="21"/>
              </w:rPr>
              <w:t>：党委政府对生态文明建设重大目标任务部署情况（</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3</w:t>
            </w:r>
            <w:r>
              <w:rPr>
                <w:rFonts w:hint="eastAsia"/>
                <w:spacing w:val="-5"/>
                <w:kern w:val="0"/>
                <w:sz w:val="21"/>
                <w:szCs w:val="21"/>
              </w:rPr>
              <w:t>：河长制（</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5</w:t>
            </w:r>
            <w:r>
              <w:rPr>
                <w:rFonts w:hint="eastAsia"/>
                <w:spacing w:val="-5"/>
                <w:kern w:val="0"/>
                <w:sz w:val="21"/>
                <w:szCs w:val="21"/>
              </w:rPr>
              <w:t>：农用化肥、农药施用强度（</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6</w:t>
            </w:r>
            <w:r>
              <w:rPr>
                <w:rFonts w:hint="eastAsia"/>
                <w:spacing w:val="-5"/>
                <w:kern w:val="0"/>
                <w:sz w:val="21"/>
                <w:szCs w:val="21"/>
              </w:rPr>
              <w:t>：农作物秸秆综合利用率（</w:t>
            </w:r>
            <w:r>
              <w:rPr>
                <w:spacing w:val="-5"/>
                <w:kern w:val="0"/>
                <w:sz w:val="21"/>
                <w:szCs w:val="21"/>
              </w:rPr>
              <w:t>4</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7</w:t>
            </w:r>
            <w:r>
              <w:rPr>
                <w:rFonts w:hint="eastAsia"/>
                <w:spacing w:val="-5"/>
                <w:kern w:val="0"/>
                <w:sz w:val="21"/>
                <w:szCs w:val="21"/>
              </w:rPr>
              <w:t>：农膜回收率（</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8</w:t>
            </w:r>
            <w:r>
              <w:rPr>
                <w:rFonts w:hint="eastAsia"/>
                <w:spacing w:val="-5"/>
                <w:kern w:val="0"/>
                <w:sz w:val="21"/>
                <w:szCs w:val="21"/>
              </w:rPr>
              <w:t>：畜禽粪污综合利用率（</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9</w:t>
            </w:r>
            <w:r>
              <w:rPr>
                <w:rFonts w:hint="eastAsia"/>
                <w:spacing w:val="-5"/>
                <w:kern w:val="0"/>
                <w:sz w:val="21"/>
                <w:szCs w:val="21"/>
              </w:rPr>
              <w:t>：露天秸秆、垃圾焚烧现象（</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10</w:t>
            </w:r>
            <w:r>
              <w:rPr>
                <w:rFonts w:hint="eastAsia"/>
                <w:spacing w:val="-5"/>
                <w:kern w:val="0"/>
                <w:sz w:val="21"/>
                <w:szCs w:val="21"/>
              </w:rPr>
              <w:t>：黑臭水体（</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11</w:t>
            </w:r>
            <w:r>
              <w:rPr>
                <w:rFonts w:hint="eastAsia"/>
                <w:spacing w:val="-5"/>
                <w:kern w:val="0"/>
                <w:sz w:val="21"/>
                <w:szCs w:val="21"/>
              </w:rPr>
              <w:t>：违法入河排污口排查整治（</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12</w:t>
            </w:r>
            <w:r>
              <w:rPr>
                <w:rFonts w:hint="eastAsia"/>
                <w:spacing w:val="-5"/>
                <w:kern w:val="0"/>
                <w:sz w:val="21"/>
                <w:szCs w:val="21"/>
              </w:rPr>
              <w:t>：散乱污企业集中整治（</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13</w:t>
            </w:r>
            <w:r>
              <w:rPr>
                <w:rFonts w:hint="eastAsia"/>
                <w:spacing w:val="-5"/>
                <w:kern w:val="0"/>
                <w:sz w:val="21"/>
                <w:szCs w:val="21"/>
              </w:rPr>
              <w:t>：乡镇集中式饮用水水源地水质达标率（5分）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14</w:t>
            </w:r>
            <w:r>
              <w:rPr>
                <w:rFonts w:hint="eastAsia"/>
                <w:spacing w:val="-5"/>
                <w:kern w:val="0"/>
                <w:sz w:val="21"/>
                <w:szCs w:val="21"/>
              </w:rPr>
              <w:t>：森林覆盖率（</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指标</w:t>
            </w:r>
            <w:r>
              <w:rPr>
                <w:spacing w:val="-5"/>
                <w:kern w:val="0"/>
                <w:sz w:val="21"/>
                <w:szCs w:val="21"/>
              </w:rPr>
              <w:t>15</w:t>
            </w:r>
            <w:r>
              <w:rPr>
                <w:rFonts w:hint="eastAsia"/>
                <w:spacing w:val="-5"/>
                <w:kern w:val="0"/>
                <w:sz w:val="21"/>
                <w:szCs w:val="21"/>
              </w:rPr>
              <w:t>：自然生态空间（5分）</w:t>
            </w:r>
          </w:p>
        </w:tc>
        <w:tc>
          <w:tcPr>
            <w:tcW w:w="3711" w:type="dxa"/>
            <w:noWrap w:val="0"/>
            <w:vAlign w:val="center"/>
          </w:tcPr>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16</w:t>
            </w:r>
            <w:r>
              <w:rPr>
                <w:rFonts w:hint="eastAsia"/>
                <w:spacing w:val="-5"/>
                <w:kern w:val="0"/>
                <w:sz w:val="21"/>
                <w:szCs w:val="21"/>
              </w:rPr>
              <w:t>：危险废物处置利用率（</w:t>
            </w:r>
            <w:r>
              <w:rPr>
                <w:spacing w:val="-5"/>
                <w:kern w:val="0"/>
                <w:sz w:val="21"/>
                <w:szCs w:val="21"/>
              </w:rPr>
              <w:t>4</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17</w:t>
            </w:r>
            <w:r>
              <w:rPr>
                <w:rFonts w:hint="eastAsia"/>
                <w:spacing w:val="-5"/>
                <w:kern w:val="0"/>
                <w:sz w:val="21"/>
                <w:szCs w:val="21"/>
              </w:rPr>
              <w:t>：突发生态环境事件应急管理机制（</w:t>
            </w:r>
            <w:r>
              <w:rPr>
                <w:spacing w:val="-5"/>
                <w:kern w:val="0"/>
                <w:sz w:val="21"/>
                <w:szCs w:val="21"/>
              </w:rPr>
              <w:t>4</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18</w:t>
            </w:r>
            <w:r>
              <w:rPr>
                <w:rFonts w:hint="eastAsia"/>
                <w:spacing w:val="-5"/>
                <w:kern w:val="0"/>
                <w:sz w:val="21"/>
                <w:szCs w:val="21"/>
              </w:rPr>
              <w:t>：乡镇集中式生活污水处理率（</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19</w:t>
            </w:r>
            <w:r>
              <w:rPr>
                <w:rFonts w:hint="eastAsia"/>
                <w:spacing w:val="-5"/>
                <w:kern w:val="0"/>
                <w:sz w:val="21"/>
                <w:szCs w:val="21"/>
              </w:rPr>
              <w:t>：生活垃圾收集转运率（</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20</w:t>
            </w:r>
            <w:r>
              <w:rPr>
                <w:rFonts w:hint="eastAsia"/>
                <w:spacing w:val="-5"/>
                <w:kern w:val="0"/>
                <w:sz w:val="21"/>
                <w:szCs w:val="21"/>
              </w:rPr>
              <w:t>：使用清洁能源的户数比例（</w:t>
            </w:r>
            <w:r>
              <w:rPr>
                <w:spacing w:val="-5"/>
                <w:kern w:val="0"/>
                <w:sz w:val="21"/>
                <w:szCs w:val="21"/>
              </w:rPr>
              <w:t>4</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21</w:t>
            </w:r>
            <w:r>
              <w:rPr>
                <w:rFonts w:hint="eastAsia"/>
                <w:spacing w:val="-5"/>
                <w:kern w:val="0"/>
                <w:sz w:val="21"/>
                <w:szCs w:val="21"/>
              </w:rPr>
              <w:t>：无害化卫生厕所普及率（</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22</w:t>
            </w:r>
            <w:r>
              <w:rPr>
                <w:rFonts w:hint="eastAsia"/>
                <w:spacing w:val="-5"/>
                <w:kern w:val="0"/>
                <w:sz w:val="21"/>
                <w:szCs w:val="21"/>
              </w:rPr>
              <w:t>：将生态文明培训纳入乡镇年度培训计划（</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23</w:t>
            </w:r>
            <w:r>
              <w:rPr>
                <w:rFonts w:hint="eastAsia"/>
                <w:spacing w:val="-5"/>
                <w:kern w:val="0"/>
                <w:sz w:val="21"/>
                <w:szCs w:val="21"/>
              </w:rPr>
              <w:t>：生态文明建设宣传工作（</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24</w:t>
            </w:r>
            <w:r>
              <w:rPr>
                <w:rFonts w:hint="eastAsia"/>
                <w:spacing w:val="-5"/>
                <w:kern w:val="0"/>
                <w:sz w:val="21"/>
                <w:szCs w:val="21"/>
              </w:rPr>
              <w:t>：中小学开展生态文明教育（</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25</w:t>
            </w:r>
            <w:r>
              <w:rPr>
                <w:rFonts w:hint="eastAsia"/>
                <w:spacing w:val="-5"/>
                <w:kern w:val="0"/>
                <w:sz w:val="21"/>
                <w:szCs w:val="21"/>
              </w:rPr>
              <w:t>：制定实施有关节约资源和保护环境村规民约的</w:t>
            </w:r>
            <w:r>
              <w:rPr>
                <w:rFonts w:hint="eastAsia"/>
                <w:color w:val="auto"/>
                <w:spacing w:val="-5"/>
                <w:kern w:val="0"/>
                <w:sz w:val="21"/>
                <w:szCs w:val="21"/>
              </w:rPr>
              <w:t>行政村</w:t>
            </w:r>
            <w:r>
              <w:rPr>
                <w:rFonts w:hint="eastAsia"/>
                <w:spacing w:val="-5"/>
                <w:kern w:val="0"/>
                <w:sz w:val="21"/>
                <w:szCs w:val="21"/>
              </w:rPr>
              <w:t>比例（</w:t>
            </w:r>
            <w:r>
              <w:rPr>
                <w:spacing w:val="-5"/>
                <w:kern w:val="0"/>
                <w:sz w:val="21"/>
                <w:szCs w:val="21"/>
              </w:rPr>
              <w:t>3</w:t>
            </w:r>
            <w:r>
              <w:rPr>
                <w:rFonts w:hint="eastAsia"/>
                <w:spacing w:val="-5"/>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noWrap w:val="0"/>
            <w:vAlign w:val="center"/>
          </w:tcPr>
          <w:p>
            <w:pPr>
              <w:autoSpaceDE w:val="0"/>
              <w:autoSpaceDN w:val="0"/>
              <w:adjustRightInd w:val="0"/>
              <w:spacing w:line="320" w:lineRule="exact"/>
              <w:jc w:val="center"/>
              <w:rPr>
                <w:spacing w:val="-5"/>
                <w:kern w:val="0"/>
                <w:sz w:val="21"/>
                <w:szCs w:val="21"/>
              </w:rPr>
            </w:pPr>
            <w:bookmarkStart w:id="33" w:name="_Hlk81287944"/>
            <w:r>
              <w:rPr>
                <w:spacing w:val="-5"/>
                <w:kern w:val="0"/>
                <w:sz w:val="21"/>
                <w:szCs w:val="21"/>
              </w:rPr>
              <w:t>未达标</w:t>
            </w:r>
          </w:p>
          <w:p>
            <w:pPr>
              <w:autoSpaceDE w:val="0"/>
              <w:autoSpaceDN w:val="0"/>
              <w:adjustRightInd w:val="0"/>
              <w:spacing w:line="320" w:lineRule="exact"/>
              <w:jc w:val="center"/>
              <w:rPr>
                <w:spacing w:val="-5"/>
                <w:kern w:val="0"/>
                <w:sz w:val="21"/>
                <w:szCs w:val="21"/>
              </w:rPr>
            </w:pPr>
            <w:r>
              <w:rPr>
                <w:spacing w:val="-5"/>
                <w:kern w:val="0"/>
                <w:sz w:val="21"/>
                <w:szCs w:val="21"/>
              </w:rPr>
              <w:t>（7</w:t>
            </w:r>
            <w:r>
              <w:rPr>
                <w:rFonts w:hint="eastAsia"/>
                <w:spacing w:val="-5"/>
                <w:kern w:val="0"/>
                <w:sz w:val="21"/>
                <w:szCs w:val="21"/>
              </w:rPr>
              <w:t>分</w:t>
            </w:r>
            <w:r>
              <w:rPr>
                <w:spacing w:val="-5"/>
                <w:kern w:val="0"/>
                <w:sz w:val="21"/>
                <w:szCs w:val="21"/>
              </w:rPr>
              <w:t>）</w:t>
            </w:r>
          </w:p>
        </w:tc>
        <w:tc>
          <w:tcPr>
            <w:tcW w:w="7934" w:type="dxa"/>
            <w:gridSpan w:val="2"/>
            <w:noWrap w:val="0"/>
            <w:vAlign w:val="center"/>
          </w:tcPr>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w:t>
            </w:r>
            <w:r>
              <w:rPr>
                <w:rFonts w:hint="eastAsia"/>
                <w:spacing w:val="-5"/>
                <w:kern w:val="0"/>
                <w:sz w:val="21"/>
                <w:szCs w:val="21"/>
              </w:rPr>
              <w:t>：重庆市生态文明建设示范创建规划或实施方案（3分）（易达标）</w:t>
            </w:r>
          </w:p>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指标</w:t>
            </w:r>
            <w:r>
              <w:rPr>
                <w:spacing w:val="-5"/>
                <w:kern w:val="0"/>
                <w:sz w:val="21"/>
                <w:szCs w:val="21"/>
              </w:rPr>
              <w:t>4</w:t>
            </w:r>
            <w:r>
              <w:rPr>
                <w:rFonts w:hint="eastAsia"/>
                <w:spacing w:val="-5"/>
                <w:kern w:val="0"/>
                <w:sz w:val="21"/>
                <w:szCs w:val="21"/>
              </w:rPr>
              <w:t>：“两品一标”农产品总产量占比（</w:t>
            </w:r>
            <w:r>
              <w:rPr>
                <w:spacing w:val="-5"/>
                <w:kern w:val="0"/>
                <w:sz w:val="21"/>
                <w:szCs w:val="21"/>
              </w:rPr>
              <w:t>4</w:t>
            </w:r>
            <w:r>
              <w:rPr>
                <w:rFonts w:hint="eastAsia"/>
                <w:spacing w:val="-5"/>
                <w:kern w:val="0"/>
                <w:sz w:val="21"/>
                <w:szCs w:val="21"/>
              </w:rPr>
              <w:t>分）（争取得2分）</w:t>
            </w:r>
          </w:p>
        </w:tc>
      </w:tr>
      <w:bookmarkEnd w:id="28"/>
      <w:bookmarkEnd w:id="29"/>
      <w:bookmarkEnd w:id="30"/>
      <w:bookmarkEnd w:id="31"/>
      <w:bookmarkEnd w:id="32"/>
      <w:bookmarkEnd w:id="33"/>
    </w:tbl>
    <w:p>
      <w:pPr>
        <w:ind w:firstLine="634" w:firstLineChars="200"/>
        <w:rPr>
          <w:szCs w:val="32"/>
        </w:rPr>
      </w:pPr>
    </w:p>
    <w:p>
      <w:pPr>
        <w:ind w:firstLine="634" w:firstLineChars="200"/>
        <w:outlineLvl w:val="2"/>
        <w:rPr>
          <w:rFonts w:hint="eastAsia"/>
          <w:szCs w:val="32"/>
        </w:rPr>
      </w:pPr>
      <w:bookmarkStart w:id="34" w:name="_Toc106638411"/>
      <w:r>
        <w:rPr>
          <w:rFonts w:hint="eastAsia"/>
          <w:szCs w:val="32"/>
        </w:rPr>
        <w:t>3</w:t>
      </w:r>
      <w:r>
        <w:rPr>
          <w:szCs w:val="32"/>
        </w:rPr>
        <w:t>.3.1</w:t>
      </w:r>
      <w:r>
        <w:rPr>
          <w:rFonts w:hint="eastAsia"/>
          <w:szCs w:val="32"/>
        </w:rPr>
        <w:t>生态制度</w:t>
      </w:r>
      <w:bookmarkEnd w:id="34"/>
    </w:p>
    <w:p>
      <w:pPr>
        <w:ind w:firstLine="634" w:firstLineChars="200"/>
        <w:rPr>
          <w:szCs w:val="32"/>
        </w:rPr>
      </w:pPr>
      <w:r>
        <w:rPr>
          <w:rFonts w:hint="eastAsia"/>
          <w:szCs w:val="32"/>
        </w:rPr>
        <w:t>（1）重庆市生态文明建设示范创建规划或实施方案</w:t>
      </w:r>
    </w:p>
    <w:p>
      <w:pPr>
        <w:ind w:firstLine="634" w:firstLineChars="200"/>
        <w:rPr>
          <w:szCs w:val="32"/>
        </w:rPr>
      </w:pPr>
      <w:r>
        <w:rPr>
          <w:rFonts w:hint="eastAsia"/>
          <w:szCs w:val="32"/>
        </w:rPr>
        <w:t>【考核要求】：印发实施（3分）</w:t>
      </w:r>
    </w:p>
    <w:p>
      <w:pPr>
        <w:ind w:firstLine="634" w:firstLineChars="200"/>
        <w:rPr>
          <w:szCs w:val="32"/>
        </w:rPr>
      </w:pPr>
      <w:r>
        <w:rPr>
          <w:rFonts w:hint="eastAsia"/>
          <w:szCs w:val="32"/>
        </w:rPr>
        <w:t>【指标解释】：指创建地区按照《重庆市生态文明建设示范区县管理规程及建设指标》</w:t>
      </w:r>
      <w:r>
        <w:rPr>
          <w:szCs w:val="32"/>
        </w:rPr>
        <w:t>（渝环办〔2020〕8号）文件要求，</w:t>
      </w:r>
      <w:r>
        <w:rPr>
          <w:rFonts w:hint="eastAsia"/>
          <w:szCs w:val="32"/>
        </w:rPr>
        <w:t>编制重庆市生态文明建设示范乡镇创建规划或实施方案，并经人民政府印发实施。</w:t>
      </w:r>
    </w:p>
    <w:p>
      <w:pPr>
        <w:ind w:firstLine="634" w:firstLineChars="200"/>
        <w:rPr>
          <w:rFonts w:hint="eastAsia"/>
          <w:szCs w:val="32"/>
        </w:rPr>
      </w:pPr>
      <w:r>
        <w:rPr>
          <w:rFonts w:hint="eastAsia"/>
          <w:szCs w:val="32"/>
        </w:rPr>
        <w:t>【指标现状】：金龙镇暂未印发实施，得0分。为深入贯彻落实</w:t>
      </w:r>
      <w:r>
        <w:rPr>
          <w:rFonts w:hint="eastAsia"/>
          <w:color w:val="auto"/>
          <w:lang w:eastAsia="zh-CN"/>
        </w:rPr>
        <w:t>党的</w:t>
      </w:r>
      <w:r>
        <w:rPr>
          <w:rFonts w:hint="eastAsia"/>
          <w:color w:val="auto"/>
          <w:szCs w:val="32"/>
        </w:rPr>
        <w:t>十九大</w:t>
      </w:r>
      <w:r>
        <w:rPr>
          <w:rFonts w:hint="eastAsia"/>
          <w:szCs w:val="32"/>
        </w:rPr>
        <w:t>精神和</w:t>
      </w:r>
      <w:r>
        <w:rPr>
          <w:rFonts w:hint="eastAsia"/>
          <w:color w:val="auto"/>
          <w:szCs w:val="32"/>
        </w:rPr>
        <w:t>习近平生态文明思想</w:t>
      </w:r>
      <w:r>
        <w:rPr>
          <w:rFonts w:hint="eastAsia"/>
          <w:szCs w:val="32"/>
        </w:rPr>
        <w:t>，牢固树立绿水青山就是金山银山的理念，根据</w:t>
      </w:r>
      <w:r>
        <w:rPr>
          <w:szCs w:val="32"/>
        </w:rPr>
        <w:t>《重庆市生态文明建设示范区县管理规程及建设指标》（渝环办〔2020〕8号）文件要求，</w:t>
      </w:r>
      <w:r>
        <w:rPr>
          <w:rFonts w:hint="eastAsia"/>
          <w:szCs w:val="32"/>
        </w:rPr>
        <w:t>金龙镇人民政府</w:t>
      </w:r>
      <w:r>
        <w:rPr>
          <w:szCs w:val="32"/>
        </w:rPr>
        <w:t>已</w:t>
      </w:r>
      <w:r>
        <w:rPr>
          <w:rFonts w:hint="eastAsia"/>
          <w:szCs w:val="32"/>
        </w:rPr>
        <w:t>完成</w:t>
      </w:r>
      <w:r>
        <w:rPr>
          <w:szCs w:val="32"/>
        </w:rPr>
        <w:t>《永川区</w:t>
      </w:r>
      <w:r>
        <w:rPr>
          <w:rFonts w:hint="eastAsia"/>
          <w:szCs w:val="32"/>
        </w:rPr>
        <w:t>金龙镇</w:t>
      </w:r>
      <w:r>
        <w:rPr>
          <w:szCs w:val="32"/>
        </w:rPr>
        <w:t>创建重庆市生态文明建设示范</w:t>
      </w:r>
      <w:r>
        <w:rPr>
          <w:rFonts w:hint="eastAsia"/>
          <w:szCs w:val="32"/>
        </w:rPr>
        <w:t>镇</w:t>
      </w:r>
      <w:r>
        <w:rPr>
          <w:szCs w:val="32"/>
        </w:rPr>
        <w:t>规划》编制工作</w:t>
      </w:r>
      <w:r>
        <w:rPr>
          <w:rFonts w:hint="eastAsia"/>
          <w:szCs w:val="32"/>
        </w:rPr>
        <w:t>，目前处于专家评审阶段。该指标预期达标，预期得3分。</w:t>
      </w:r>
    </w:p>
    <w:p>
      <w:pPr>
        <w:ind w:firstLine="634" w:firstLineChars="200"/>
        <w:rPr>
          <w:szCs w:val="32"/>
        </w:rPr>
      </w:pPr>
      <w:r>
        <w:rPr>
          <w:rFonts w:hint="eastAsia"/>
          <w:szCs w:val="32"/>
        </w:rPr>
        <w:t>（</w:t>
      </w:r>
      <w:r>
        <w:rPr>
          <w:szCs w:val="32"/>
        </w:rPr>
        <w:t>2</w:t>
      </w:r>
      <w:r>
        <w:rPr>
          <w:rFonts w:hint="eastAsia"/>
          <w:szCs w:val="32"/>
        </w:rPr>
        <w:t>）党委政府对生态文明建设重大目标任务部署情况</w:t>
      </w:r>
    </w:p>
    <w:p>
      <w:pPr>
        <w:ind w:firstLine="634" w:firstLineChars="200"/>
        <w:rPr>
          <w:szCs w:val="32"/>
        </w:rPr>
      </w:pPr>
      <w:r>
        <w:rPr>
          <w:rFonts w:hint="eastAsia"/>
          <w:szCs w:val="32"/>
        </w:rPr>
        <w:t>【考核要求】：开展（3分）</w:t>
      </w:r>
    </w:p>
    <w:p>
      <w:pPr>
        <w:ind w:firstLine="634" w:firstLineChars="200"/>
        <w:rPr>
          <w:szCs w:val="32"/>
        </w:rPr>
      </w:pPr>
      <w:r>
        <w:rPr>
          <w:rFonts w:hint="eastAsia"/>
          <w:szCs w:val="32"/>
        </w:rPr>
        <w:t>【指标解释】：指创建地区党委政府领导班子学习贯彻落实</w:t>
      </w:r>
      <w:r>
        <w:rPr>
          <w:rFonts w:hint="eastAsia"/>
          <w:color w:val="auto"/>
          <w:szCs w:val="32"/>
        </w:rPr>
        <w:t>习近平生态文明思想</w:t>
      </w:r>
      <w:r>
        <w:rPr>
          <w:rFonts w:hint="eastAsia"/>
          <w:szCs w:val="32"/>
        </w:rPr>
        <w:t>的情况，对国家、市级、永川区有关生态文明建设决策部署和重大政策、中央生态环境保护督察与各类专项督查问题，以及本行政区域内生态文明建设突出问题的研究学习及落实情况。</w:t>
      </w:r>
    </w:p>
    <w:p>
      <w:pPr>
        <w:ind w:firstLine="634" w:firstLineChars="200"/>
        <w:rPr>
          <w:szCs w:val="32"/>
        </w:rPr>
      </w:pPr>
      <w:r>
        <w:rPr>
          <w:rFonts w:hint="eastAsia"/>
          <w:szCs w:val="32"/>
        </w:rPr>
        <w:t>【指标现状】：金龙镇始终坚持以习近平新时代中国特色社会主义思想为指导，深学笃用</w:t>
      </w:r>
      <w:r>
        <w:rPr>
          <w:rFonts w:hint="eastAsia"/>
          <w:color w:val="auto"/>
          <w:szCs w:val="32"/>
        </w:rPr>
        <w:t>习近平生态文明思想</w:t>
      </w:r>
      <w:r>
        <w:rPr>
          <w:rFonts w:hint="eastAsia"/>
          <w:szCs w:val="32"/>
        </w:rPr>
        <w:t>，积极落实国家、市级、区级对于生态文明建设的决策和重大部署，统筹推进疫情防控和生态环境保护工作，提高环境准入门槛，加大环境违法检查打击处罚力度，全面整治辖区养殖面源污染，着力提高畜禽粪污综合利用率，扎实推进金龙污水处理厂配套设施建设，努力将金龙镇建设成为永川东北部生态重镇，确保高质量完成上级下达的各项生态环境保护目标任务。每年年初，召开全镇年度生态环境保护工作会议，制定当年度《金龙镇生态环境保护工作意见》。2018年</w:t>
      </w:r>
      <w:r>
        <w:rPr>
          <w:szCs w:val="32"/>
        </w:rPr>
        <w:t>积极配合</w:t>
      </w:r>
      <w:r>
        <w:rPr>
          <w:rFonts w:hint="eastAsia"/>
          <w:szCs w:val="32"/>
        </w:rPr>
        <w:t>区生态环境</w:t>
      </w:r>
      <w:r>
        <w:rPr>
          <w:szCs w:val="32"/>
        </w:rPr>
        <w:t>局开展中央环保督察转办件回头看工作</w:t>
      </w:r>
      <w:r>
        <w:rPr>
          <w:rFonts w:hint="eastAsia"/>
          <w:szCs w:val="32"/>
        </w:rPr>
        <w:t>，涉及金龙镇2个问题，金龙镇积极牵头整改，通过下发《关于设立金龙镇规划建设管理环保办公室的通知》保障了环保人员的稳定性问题，另一问题经核实成功销号。金龙镇已达到考核要求，评估得3分。</w:t>
      </w:r>
    </w:p>
    <w:p>
      <w:pPr>
        <w:ind w:firstLine="634" w:firstLineChars="200"/>
        <w:rPr>
          <w:szCs w:val="32"/>
        </w:rPr>
      </w:pPr>
      <w:r>
        <w:rPr>
          <w:rFonts w:hint="eastAsia"/>
          <w:szCs w:val="32"/>
        </w:rPr>
        <w:t>（3）河长制</w:t>
      </w:r>
    </w:p>
    <w:p>
      <w:pPr>
        <w:ind w:firstLine="634" w:firstLineChars="200"/>
        <w:rPr>
          <w:rFonts w:hint="eastAsia"/>
          <w:szCs w:val="32"/>
        </w:rPr>
      </w:pPr>
      <w:r>
        <w:rPr>
          <w:rFonts w:hint="eastAsia"/>
          <w:szCs w:val="32"/>
        </w:rPr>
        <w:t>【考核要求】：全面实施（</w:t>
      </w:r>
      <w:r>
        <w:rPr>
          <w:szCs w:val="32"/>
        </w:rPr>
        <w:t>3</w:t>
      </w:r>
      <w:r>
        <w:rPr>
          <w:rFonts w:hint="eastAsia"/>
          <w:szCs w:val="32"/>
        </w:rPr>
        <w:t>分）</w:t>
      </w:r>
    </w:p>
    <w:p>
      <w:pPr>
        <w:ind w:firstLine="634" w:firstLineChars="200"/>
        <w:rPr>
          <w:szCs w:val="32"/>
        </w:rPr>
      </w:pPr>
      <w:r>
        <w:rPr>
          <w:rFonts w:hint="eastAsia"/>
          <w:szCs w:val="32"/>
        </w:rPr>
        <w:t>【指标解释】：指地方政府编制具有自身特色的全面推行河长制工作方案并组织实施。要求在辖区内河流（含水库）全面推行由各级党政主要负责人担任“河长”，负责组织领导、统筹协调水资源保护、水域岸线管理、水污染防治、水环境治理、水生态修复等河流管理保护工作，监督政府相关部门依法履行职责。各河长制责任单位应当落实河流管理保护执法监管责任主体，加大执法监管力度。</w:t>
      </w:r>
    </w:p>
    <w:p>
      <w:pPr>
        <w:ind w:firstLine="634" w:firstLineChars="200"/>
        <w:rPr>
          <w:szCs w:val="32"/>
        </w:rPr>
      </w:pPr>
      <w:r>
        <w:rPr>
          <w:rFonts w:hint="eastAsia"/>
          <w:szCs w:val="32"/>
        </w:rPr>
        <w:t>【指标现状】：金龙镇属于九龙河流域，永川区编制实施了《永川区九龙河“一河一策”实施方案》，金龙镇积极细化落实，出台实施《金龙镇（街道）镇村级河库全面推行河长制问题、措施及责任清单表》、《金龙镇2020年九龙河流域综合治理攻坚战“一河一策”》等，</w:t>
      </w:r>
    </w:p>
    <w:p>
      <w:pPr>
        <w:ind w:firstLine="634" w:firstLineChars="200"/>
        <w:rPr>
          <w:rFonts w:hint="eastAsia"/>
          <w:szCs w:val="32"/>
        </w:rPr>
      </w:pPr>
      <w:r>
        <w:rPr>
          <w:rFonts w:hint="eastAsia"/>
          <w:szCs w:val="32"/>
        </w:rPr>
        <w:t>全镇设立总河长、副总河长、镇河长、村河长，负责行政区域内河长制工作，镇党委书记、镇长担任总河长，分管领导担任副总河长，各村分级设镇级河长和村河长，由镇驻村领导和村党总支书记担任，全镇共设立87个河（段、库）长，其中镇级河长9个，村级河长7个，</w:t>
      </w:r>
      <w:r>
        <w:rPr>
          <w:rFonts w:hint="eastAsia"/>
          <w:color w:val="auto"/>
          <w:szCs w:val="32"/>
        </w:rPr>
        <w:t>社</w:t>
      </w:r>
      <w:r>
        <w:rPr>
          <w:rFonts w:hint="eastAsia"/>
          <w:szCs w:val="32"/>
        </w:rPr>
        <w:t>级河长71个。镇河长办公室设在镇农业服务中心，党政办、镇纪委（监察室）、财政办、农业服务中心、经发办、规建环办、市政所、派出所、市场监管所、国土所、教管中心等为河长制责任部门。金龙镇已达到考核要求，评估得3分。</w:t>
      </w:r>
    </w:p>
    <w:p>
      <w:pPr>
        <w:ind w:firstLine="634" w:firstLineChars="200"/>
        <w:outlineLvl w:val="2"/>
        <w:rPr>
          <w:rFonts w:hint="eastAsia"/>
          <w:szCs w:val="32"/>
        </w:rPr>
      </w:pPr>
      <w:bookmarkStart w:id="35" w:name="_Toc106638412"/>
      <w:r>
        <w:rPr>
          <w:rFonts w:hint="eastAsia"/>
          <w:szCs w:val="32"/>
        </w:rPr>
        <w:t>3</w:t>
      </w:r>
      <w:r>
        <w:rPr>
          <w:szCs w:val="32"/>
        </w:rPr>
        <w:t>.3.2</w:t>
      </w:r>
      <w:r>
        <w:rPr>
          <w:rFonts w:hint="eastAsia"/>
          <w:szCs w:val="32"/>
        </w:rPr>
        <w:t>生态经济</w:t>
      </w:r>
      <w:bookmarkEnd w:id="35"/>
    </w:p>
    <w:p>
      <w:pPr>
        <w:ind w:firstLine="634" w:firstLineChars="200"/>
        <w:rPr>
          <w:szCs w:val="32"/>
        </w:rPr>
      </w:pPr>
      <w:r>
        <w:rPr>
          <w:rFonts w:hint="eastAsia"/>
          <w:szCs w:val="32"/>
        </w:rPr>
        <w:t>（4）“两品一标”农产品总产量占比</w:t>
      </w:r>
    </w:p>
    <w:p>
      <w:pPr>
        <w:ind w:firstLine="634" w:firstLineChars="200"/>
        <w:rPr>
          <w:rFonts w:hint="eastAsia"/>
          <w:szCs w:val="32"/>
        </w:rPr>
      </w:pPr>
      <w:r>
        <w:rPr>
          <w:rFonts w:hint="eastAsia"/>
          <w:szCs w:val="32"/>
        </w:rPr>
        <w:t>【考核要求】：</w:t>
      </w:r>
      <w:r>
        <w:rPr>
          <w:szCs w:val="32"/>
        </w:rPr>
        <w:t>≥20%</w:t>
      </w:r>
      <w:r>
        <w:rPr>
          <w:rFonts w:hint="eastAsia"/>
          <w:szCs w:val="32"/>
        </w:rPr>
        <w:t>（4分）；</w:t>
      </w:r>
      <w:r>
        <w:rPr>
          <w:szCs w:val="32"/>
        </w:rPr>
        <w:t>20＞A≥10</w:t>
      </w:r>
      <w:r>
        <w:rPr>
          <w:rFonts w:hint="eastAsia"/>
          <w:szCs w:val="32"/>
        </w:rPr>
        <w:t>（2分）</w:t>
      </w:r>
    </w:p>
    <w:p>
      <w:pPr>
        <w:ind w:firstLine="634" w:firstLineChars="200"/>
        <w:rPr>
          <w:szCs w:val="32"/>
        </w:rPr>
      </w:pPr>
      <w:r>
        <w:rPr>
          <w:rFonts w:hint="eastAsia"/>
          <w:szCs w:val="32"/>
        </w:rPr>
        <w:t>【指标解释】：指辖区内有机、绿色食品种植产量与农作物总产量的百分比。（注：区农委认定其符合有机、绿色、无公害食品的生产要求，产地环境状况达到《食用农产品产地环境质量评价标准》（</w:t>
      </w:r>
      <w:r>
        <w:rPr>
          <w:szCs w:val="32"/>
        </w:rPr>
        <w:t>HJ/T 332-2006）和《温室蔬菜产地环境质量评价标准》（HJ/T 333-2006）国家环境保护标准和管理规范要求即可）。</w:t>
      </w:r>
    </w:p>
    <w:p>
      <w:pPr>
        <w:ind w:firstLine="634" w:firstLineChars="200"/>
        <w:rPr>
          <w:rFonts w:hint="eastAsia"/>
          <w:szCs w:val="32"/>
        </w:rPr>
      </w:pPr>
      <w:r>
        <w:rPr>
          <w:rFonts w:hint="eastAsia"/>
          <w:szCs w:val="32"/>
        </w:rPr>
        <w:t>【指标现状】：</w:t>
      </w:r>
      <w:r>
        <w:rPr>
          <w:szCs w:val="32"/>
        </w:rPr>
        <w:t>2021</w:t>
      </w:r>
      <w:r>
        <w:rPr>
          <w:rFonts w:hint="eastAsia"/>
          <w:szCs w:val="32"/>
        </w:rPr>
        <w:t>年，金龙镇“两品一标”农产品共计</w:t>
      </w:r>
      <w:r>
        <w:rPr>
          <w:szCs w:val="32"/>
        </w:rPr>
        <w:t>3</w:t>
      </w:r>
      <w:r>
        <w:rPr>
          <w:rFonts w:hint="eastAsia"/>
          <w:szCs w:val="32"/>
        </w:rPr>
        <w:t>个（认证期内），全部为绿色食品认证，产量550吨，按照2</w:t>
      </w:r>
      <w:r>
        <w:rPr>
          <w:szCs w:val="32"/>
        </w:rPr>
        <w:t>021</w:t>
      </w:r>
      <w:r>
        <w:rPr>
          <w:rFonts w:hint="eastAsia"/>
          <w:szCs w:val="32"/>
        </w:rPr>
        <w:t>年主要农产品产量32239吨计算，金龙镇“两品一标”农产品总产量占比为</w:t>
      </w:r>
      <w:r>
        <w:rPr>
          <w:szCs w:val="32"/>
        </w:rPr>
        <w:t>1.7%</w:t>
      </w:r>
      <w:r>
        <w:rPr>
          <w:rFonts w:hint="eastAsia"/>
          <w:szCs w:val="32"/>
        </w:rPr>
        <w:t>，评估得</w:t>
      </w:r>
      <w:r>
        <w:rPr>
          <w:szCs w:val="32"/>
        </w:rPr>
        <w:t>0</w:t>
      </w:r>
      <w:r>
        <w:rPr>
          <w:rFonts w:hint="eastAsia"/>
          <w:szCs w:val="32"/>
        </w:rPr>
        <w:t>分。随着全镇生态农业的深入推进，该指标预估得2分。</w:t>
      </w:r>
    </w:p>
    <w:p>
      <w:pPr>
        <w:ind w:firstLine="634" w:firstLineChars="200"/>
        <w:rPr>
          <w:szCs w:val="32"/>
        </w:rPr>
      </w:pPr>
      <w:r>
        <w:rPr>
          <w:rFonts w:hint="eastAsia"/>
          <w:szCs w:val="32"/>
        </w:rPr>
        <w:t>（5）农用化肥、</w:t>
      </w:r>
      <w:r>
        <w:rPr>
          <w:rFonts w:hint="eastAsia"/>
          <w:color w:val="auto"/>
          <w:szCs w:val="32"/>
        </w:rPr>
        <w:t>农药施用</w:t>
      </w:r>
      <w:r>
        <w:rPr>
          <w:rFonts w:hint="eastAsia"/>
          <w:szCs w:val="32"/>
        </w:rPr>
        <w:t>强度</w:t>
      </w:r>
    </w:p>
    <w:p>
      <w:pPr>
        <w:ind w:firstLine="634" w:firstLineChars="200"/>
        <w:rPr>
          <w:rFonts w:hint="eastAsia"/>
          <w:szCs w:val="32"/>
        </w:rPr>
      </w:pPr>
      <w:r>
        <w:rPr>
          <w:rFonts w:hint="eastAsia"/>
          <w:szCs w:val="32"/>
        </w:rPr>
        <w:t>【考核要求】：逐年降低</w:t>
      </w:r>
      <w:r>
        <w:rPr>
          <w:szCs w:val="32"/>
        </w:rPr>
        <w:t>（3分）；零增长（1分）</w:t>
      </w:r>
    </w:p>
    <w:p>
      <w:pPr>
        <w:ind w:firstLine="634" w:firstLineChars="200"/>
        <w:rPr>
          <w:szCs w:val="32"/>
        </w:rPr>
      </w:pPr>
      <w:r>
        <w:rPr>
          <w:rFonts w:hint="eastAsia"/>
          <w:szCs w:val="32"/>
        </w:rPr>
        <w:t>【指标解释】：指辖区内每年实际用于农业生产的化肥施用量（包括氮肥、磷肥、钾肥和复合肥）、农药施用量与耕地总面积之比。要求农药、化肥施用实现零增长或逐年降低。</w:t>
      </w:r>
    </w:p>
    <w:p>
      <w:pPr>
        <w:ind w:firstLine="634" w:firstLineChars="200"/>
        <w:rPr>
          <w:szCs w:val="32"/>
        </w:rPr>
      </w:pPr>
      <w:r>
        <w:rPr>
          <w:rFonts w:hint="eastAsia"/>
          <w:szCs w:val="32"/>
        </w:rPr>
        <w:t>【指标现状】：</w:t>
      </w:r>
    </w:p>
    <w:p>
      <w:pPr>
        <w:ind w:firstLine="634" w:firstLineChars="200"/>
        <w:rPr>
          <w:rFonts w:hint="eastAsia"/>
        </w:rPr>
      </w:pPr>
      <w:r>
        <w:rPr>
          <w:rFonts w:hint="eastAsia"/>
          <w:szCs w:val="32"/>
        </w:rPr>
        <w:t>通过实施化肥、农药减量增效行动，组织全镇农业种植大户参加</w:t>
      </w:r>
      <w:r>
        <w:rPr>
          <w:rFonts w:hint="eastAsia" w:ascii="方正仿宋_GBK"/>
          <w:szCs w:val="32"/>
        </w:rPr>
        <w:t>绿色防控培训，引导农户使用各种绿色防控技术，以茶叶、水稻种植为重点推广绿色防控示范，</w:t>
      </w:r>
      <w:r>
        <w:rPr>
          <w:rFonts w:hint="eastAsia"/>
          <w:szCs w:val="32"/>
        </w:rPr>
        <w:t>2020年，全镇测土配方施肥技术覆盖率达到95%，绿色防控覆盖率达到36%，农药施用量27.26吨，化肥施用量850吨，分别比2015年减少21%、14.7%，化肥、农药减量取得较好成效。金龙镇农用化肥、农药施用强度逐年降低，已达到考核要求，评估得3分。</w:t>
      </w:r>
    </w:p>
    <w:p>
      <w:pPr>
        <w:ind w:firstLine="634" w:firstLineChars="200"/>
        <w:rPr>
          <w:szCs w:val="32"/>
        </w:rPr>
      </w:pPr>
      <w:r>
        <w:rPr>
          <w:rFonts w:hint="eastAsia"/>
          <w:szCs w:val="32"/>
        </w:rPr>
        <w:t>（6）农作物秸秆综合利用率</w:t>
      </w:r>
    </w:p>
    <w:p>
      <w:pPr>
        <w:ind w:firstLine="634" w:firstLineChars="200"/>
        <w:rPr>
          <w:rFonts w:hint="eastAsia"/>
        </w:rPr>
      </w:pPr>
      <w:r>
        <w:rPr>
          <w:rFonts w:hint="eastAsia"/>
          <w:szCs w:val="32"/>
        </w:rPr>
        <w:t>【考核要求】：</w:t>
      </w:r>
      <w:r>
        <w:rPr>
          <w:szCs w:val="32"/>
        </w:rPr>
        <w:t>≥85%</w:t>
      </w:r>
      <w:r>
        <w:rPr>
          <w:rFonts w:hint="eastAsia"/>
          <w:szCs w:val="32"/>
        </w:rPr>
        <w:t>（4分）；</w:t>
      </w:r>
      <w:r>
        <w:rPr>
          <w:szCs w:val="32"/>
        </w:rPr>
        <w:t>85＞A≥80</w:t>
      </w:r>
      <w:r>
        <w:rPr>
          <w:rFonts w:hint="eastAsia"/>
          <w:szCs w:val="32"/>
        </w:rPr>
        <w:t>（2分）</w:t>
      </w:r>
    </w:p>
    <w:p>
      <w:pPr>
        <w:ind w:firstLine="634" w:firstLineChars="200"/>
      </w:pPr>
      <w:r>
        <w:rPr>
          <w:rFonts w:hint="eastAsia"/>
          <w:szCs w:val="32"/>
        </w:rPr>
        <w:t>【指标解释】：指行政区域内综合利用的秸秆量占秸秆产生总量的比例。秸秆综合利用的方式包括秸秆气化、饲料化、能源化、秸秆还田、编织等。</w:t>
      </w:r>
    </w:p>
    <w:p>
      <w:pPr>
        <w:ind w:firstLine="634" w:firstLineChars="200"/>
        <w:rPr>
          <w:szCs w:val="32"/>
        </w:rPr>
      </w:pPr>
      <w:r>
        <w:rPr>
          <w:rFonts w:hint="eastAsia"/>
          <w:szCs w:val="32"/>
        </w:rPr>
        <w:t>【指标现状】：金龙镇全面落实《永川区秸秆综合利用实施方案（</w:t>
      </w:r>
      <w:r>
        <w:rPr>
          <w:szCs w:val="32"/>
        </w:rPr>
        <w:t>2019~2022年）》，因地制宜实施秸秆综合利用，</w:t>
      </w:r>
      <w:r>
        <w:rPr>
          <w:rFonts w:hint="eastAsia"/>
          <w:szCs w:val="32"/>
        </w:rPr>
        <w:t>大力推广秸秆还田、秸秆饲料化利用等技术，2020年，农作物秸秆综合利用率已超过</w:t>
      </w:r>
      <w:r>
        <w:rPr>
          <w:szCs w:val="32"/>
        </w:rPr>
        <w:t>85%</w:t>
      </w:r>
      <w:r>
        <w:rPr>
          <w:rFonts w:hint="eastAsia"/>
          <w:szCs w:val="32"/>
        </w:rPr>
        <w:t>，已达到考核要求，评估得4分。</w:t>
      </w:r>
    </w:p>
    <w:p>
      <w:pPr>
        <w:ind w:firstLine="634" w:firstLineChars="200"/>
        <w:rPr>
          <w:szCs w:val="32"/>
        </w:rPr>
      </w:pPr>
      <w:r>
        <w:rPr>
          <w:rFonts w:hint="eastAsia"/>
          <w:szCs w:val="32"/>
        </w:rPr>
        <w:t>（7）农膜回收率</w:t>
      </w:r>
    </w:p>
    <w:p>
      <w:pPr>
        <w:ind w:firstLine="634" w:firstLineChars="200"/>
        <w:rPr>
          <w:rFonts w:hint="eastAsia"/>
          <w:szCs w:val="32"/>
        </w:rPr>
      </w:pPr>
      <w:r>
        <w:rPr>
          <w:rFonts w:hint="eastAsia"/>
          <w:szCs w:val="32"/>
        </w:rPr>
        <w:t>【考核要求】：</w:t>
      </w:r>
      <w:r>
        <w:rPr>
          <w:szCs w:val="32"/>
        </w:rPr>
        <w:t>≥75%</w:t>
      </w:r>
      <w:r>
        <w:rPr>
          <w:rFonts w:hint="eastAsia"/>
          <w:szCs w:val="32"/>
        </w:rPr>
        <w:t>（3分）；</w:t>
      </w:r>
      <w:r>
        <w:rPr>
          <w:szCs w:val="32"/>
        </w:rPr>
        <w:t>75＞A≥70</w:t>
      </w:r>
      <w:r>
        <w:rPr>
          <w:rFonts w:hint="eastAsia"/>
          <w:szCs w:val="32"/>
        </w:rPr>
        <w:t>（1分）</w:t>
      </w:r>
    </w:p>
    <w:p>
      <w:pPr>
        <w:ind w:firstLine="634" w:firstLineChars="200"/>
        <w:rPr>
          <w:szCs w:val="32"/>
        </w:rPr>
      </w:pPr>
      <w:r>
        <w:rPr>
          <w:rFonts w:hint="eastAsia"/>
          <w:szCs w:val="32"/>
        </w:rPr>
        <w:t>【指标解释】：</w:t>
      </w:r>
      <w:r>
        <w:rPr>
          <w:szCs w:val="32"/>
        </w:rPr>
        <w:t>主要指用于粮食、蔬菜育秧（苗）和蔬菜、食用菌、水果等大棚设施栽培的0.01毫米以上的加厚农膜的回收利用率。各地区参照原农业部《关于印发&lt;农膜回收行动方案&gt;的通知》（农科教发〔2017〕8号），采取人工捡拾回收、地膜机械化捡拾回收，全生物可降解地膜等技术措施，采用以旧换新、经营主体上交、专业化组织回收、加工企业回收等多种回收利用方式。</w:t>
      </w:r>
    </w:p>
    <w:p>
      <w:pPr>
        <w:ind w:firstLine="634" w:firstLineChars="200"/>
        <w:rPr>
          <w:szCs w:val="32"/>
        </w:rPr>
      </w:pPr>
      <w:r>
        <w:rPr>
          <w:rFonts w:hint="eastAsia"/>
          <w:szCs w:val="32"/>
        </w:rPr>
        <w:t>【指标现状】：永川区初步建成了废弃农膜回收利用体系，金龙镇共计建成废旧农膜回收站7个，金龙镇</w:t>
      </w:r>
      <w:r>
        <w:rPr>
          <w:szCs w:val="32"/>
        </w:rPr>
        <w:t>通过大力宣传农膜回收利用政策、建立村社农膜回收点等措施，</w:t>
      </w:r>
      <w:r>
        <w:rPr>
          <w:rFonts w:hint="eastAsia"/>
          <w:szCs w:val="32"/>
        </w:rPr>
        <w:t>逐步提高了农膜回收利用率，2021年，</w:t>
      </w:r>
      <w:r>
        <w:rPr>
          <w:szCs w:val="32"/>
        </w:rPr>
        <w:t>回收农膜及肥料包装物共计32吨</w:t>
      </w:r>
      <w:r>
        <w:rPr>
          <w:rFonts w:hint="eastAsia"/>
          <w:szCs w:val="32"/>
        </w:rPr>
        <w:t>（农膜约2</w:t>
      </w:r>
      <w:r>
        <w:rPr>
          <w:szCs w:val="32"/>
        </w:rPr>
        <w:t>3</w:t>
      </w:r>
      <w:r>
        <w:rPr>
          <w:rFonts w:hint="eastAsia"/>
          <w:szCs w:val="32"/>
        </w:rPr>
        <w:t>吨）</w:t>
      </w:r>
      <w:r>
        <w:rPr>
          <w:szCs w:val="32"/>
        </w:rPr>
        <w:t>，回收利用率达100%</w:t>
      </w:r>
      <w:r>
        <w:rPr>
          <w:rFonts w:hint="eastAsia"/>
          <w:szCs w:val="32"/>
        </w:rPr>
        <w:t>，已达到考核要求，评估得3分。</w:t>
      </w:r>
    </w:p>
    <w:p>
      <w:pPr>
        <w:ind w:firstLine="634" w:firstLineChars="200"/>
        <w:rPr>
          <w:szCs w:val="32"/>
        </w:rPr>
      </w:pPr>
      <w:r>
        <w:rPr>
          <w:rFonts w:hint="eastAsia"/>
          <w:szCs w:val="32"/>
        </w:rPr>
        <w:t>（8）畜禽粪污综合利用率</w:t>
      </w:r>
    </w:p>
    <w:p>
      <w:pPr>
        <w:ind w:firstLine="634" w:firstLineChars="200"/>
        <w:rPr>
          <w:rFonts w:hint="eastAsia"/>
          <w:szCs w:val="32"/>
        </w:rPr>
      </w:pPr>
      <w:r>
        <w:rPr>
          <w:rFonts w:hint="eastAsia"/>
          <w:szCs w:val="32"/>
        </w:rPr>
        <w:t>【考核要求】：</w:t>
      </w:r>
      <w:r>
        <w:rPr>
          <w:szCs w:val="32"/>
        </w:rPr>
        <w:t>≥70%</w:t>
      </w:r>
      <w:r>
        <w:rPr>
          <w:rFonts w:hint="eastAsia"/>
          <w:szCs w:val="32"/>
        </w:rPr>
        <w:t>（3分）；</w:t>
      </w:r>
      <w:r>
        <w:rPr>
          <w:szCs w:val="32"/>
        </w:rPr>
        <w:t>70＞A≥65</w:t>
      </w:r>
      <w:r>
        <w:rPr>
          <w:rFonts w:hint="eastAsia"/>
          <w:szCs w:val="32"/>
        </w:rPr>
        <w:t>（1分）</w:t>
      </w:r>
    </w:p>
    <w:p>
      <w:pPr>
        <w:ind w:firstLine="634" w:firstLineChars="200"/>
        <w:rPr>
          <w:szCs w:val="32"/>
        </w:rPr>
      </w:pPr>
      <w:r>
        <w:rPr>
          <w:rFonts w:hint="eastAsia"/>
          <w:szCs w:val="32"/>
        </w:rPr>
        <w:t>【指标解释】：指行政区域内规模化畜禽养殖场通过还田、沼气、堆肥、培养料等方式综合利用的畜禽粪污量占畜禽粪污产生总量的比例。有关标准按照《畜禽规模养殖污染防治条例》</w:t>
      </w:r>
      <w:r>
        <w:rPr>
          <w:szCs w:val="32"/>
        </w:rPr>
        <w:t>（国务院令第643号）、《畜禽养殖业污染物排放标准》（GB 18596-2001）和《畜禽粪便无害化处理技术规范》（GB/T 36195-2018）执行。</w:t>
      </w:r>
    </w:p>
    <w:p>
      <w:pPr>
        <w:ind w:firstLine="634" w:firstLineChars="200"/>
        <w:rPr>
          <w:rFonts w:hint="eastAsia"/>
          <w:szCs w:val="32"/>
        </w:rPr>
      </w:pPr>
      <w:r>
        <w:rPr>
          <w:rFonts w:hint="eastAsia"/>
          <w:szCs w:val="32"/>
        </w:rPr>
        <w:t>【指标现状】：</w:t>
      </w:r>
      <w:r>
        <w:rPr>
          <w:szCs w:val="32"/>
        </w:rPr>
        <w:t>2021年，</w:t>
      </w:r>
      <w:r>
        <w:rPr>
          <w:rFonts w:hint="eastAsia"/>
          <w:szCs w:val="32"/>
        </w:rPr>
        <w:t>持续加强对畜禽养殖场监管，特别是正大种猪场的污染排放监管，开展正大种猪场沼液管网还田项目示范，</w:t>
      </w:r>
      <w:r>
        <w:rPr>
          <w:szCs w:val="32"/>
        </w:rPr>
        <w:t>大力宣传普及资源化利用技术，全镇</w:t>
      </w:r>
      <w:r>
        <w:rPr>
          <w:rFonts w:hint="eastAsia"/>
          <w:szCs w:val="32"/>
        </w:rPr>
        <w:t>畜禽粪污综合利用率</w:t>
      </w:r>
      <w:r>
        <w:rPr>
          <w:szCs w:val="32"/>
        </w:rPr>
        <w:t>达84%</w:t>
      </w:r>
      <w:r>
        <w:rPr>
          <w:rFonts w:hint="eastAsia"/>
          <w:szCs w:val="32"/>
        </w:rPr>
        <w:t>，达到考核要求，评估得3分</w:t>
      </w:r>
      <w:r>
        <w:rPr>
          <w:szCs w:val="32"/>
        </w:rPr>
        <w:t>。</w:t>
      </w:r>
    </w:p>
    <w:p>
      <w:pPr>
        <w:ind w:firstLine="634" w:firstLineChars="200"/>
        <w:outlineLvl w:val="2"/>
        <w:rPr>
          <w:rFonts w:hint="eastAsia"/>
          <w:szCs w:val="32"/>
        </w:rPr>
      </w:pPr>
      <w:bookmarkStart w:id="36" w:name="_Toc106638413"/>
      <w:r>
        <w:rPr>
          <w:rFonts w:hint="eastAsia"/>
          <w:szCs w:val="32"/>
        </w:rPr>
        <w:t>3</w:t>
      </w:r>
      <w:r>
        <w:rPr>
          <w:szCs w:val="32"/>
        </w:rPr>
        <w:t>.3.3</w:t>
      </w:r>
      <w:r>
        <w:rPr>
          <w:rFonts w:hint="eastAsia"/>
          <w:szCs w:val="32"/>
        </w:rPr>
        <w:t>生态环境</w:t>
      </w:r>
      <w:bookmarkEnd w:id="36"/>
    </w:p>
    <w:p>
      <w:pPr>
        <w:ind w:firstLine="634" w:firstLineChars="200"/>
        <w:rPr>
          <w:szCs w:val="32"/>
        </w:rPr>
      </w:pPr>
      <w:r>
        <w:rPr>
          <w:rFonts w:hint="eastAsia"/>
          <w:szCs w:val="32"/>
        </w:rPr>
        <w:t>（9）露天秸秆、垃圾焚烧现象</w:t>
      </w:r>
    </w:p>
    <w:p>
      <w:pPr>
        <w:ind w:firstLine="634" w:firstLineChars="200"/>
        <w:rPr>
          <w:szCs w:val="32"/>
        </w:rPr>
      </w:pPr>
      <w:r>
        <w:rPr>
          <w:rFonts w:hint="eastAsia"/>
          <w:szCs w:val="32"/>
        </w:rPr>
        <w:t>【考核要求】：基本消除</w:t>
      </w:r>
      <w:r>
        <w:rPr>
          <w:szCs w:val="32"/>
        </w:rPr>
        <w:t>（5分）</w:t>
      </w:r>
    </w:p>
    <w:p>
      <w:pPr>
        <w:ind w:firstLine="634" w:firstLineChars="200"/>
        <w:rPr>
          <w:szCs w:val="32"/>
        </w:rPr>
      </w:pPr>
      <w:r>
        <w:rPr>
          <w:rFonts w:hint="eastAsia"/>
          <w:szCs w:val="32"/>
        </w:rPr>
        <w:t>【指标解释】：指辖区内露天秸秆、垃圾焚烧现象基本消除。</w:t>
      </w:r>
    </w:p>
    <w:p>
      <w:pPr>
        <w:ind w:firstLine="634" w:firstLineChars="200"/>
        <w:rPr>
          <w:szCs w:val="32"/>
        </w:rPr>
      </w:pPr>
      <w:r>
        <w:rPr>
          <w:szCs w:val="32"/>
        </w:rPr>
        <w:t>【指标现状】：近年来，</w:t>
      </w:r>
      <w:r>
        <w:rPr>
          <w:rFonts w:hint="eastAsia"/>
          <w:szCs w:val="32"/>
        </w:rPr>
        <w:t>金龙</w:t>
      </w:r>
      <w:r>
        <w:rPr>
          <w:szCs w:val="32"/>
        </w:rPr>
        <w:t>镇持续开展</w:t>
      </w:r>
      <w:r>
        <w:rPr>
          <w:rFonts w:hint="eastAsia"/>
          <w:szCs w:val="32"/>
        </w:rPr>
        <w:t>专项行动，安排专人</w:t>
      </w:r>
      <w:r>
        <w:rPr>
          <w:rFonts w:hint="eastAsia"/>
          <w:color w:val="auto"/>
          <w:szCs w:val="32"/>
        </w:rPr>
        <w:t>巡查</w:t>
      </w:r>
      <w:r>
        <w:rPr>
          <w:rFonts w:hint="eastAsia"/>
          <w:szCs w:val="32"/>
        </w:rPr>
        <w:t>，及时发现并制止焚烧秸秆现象，2021年，金龙镇进一步通过开展市级卫生镇创建工作，</w:t>
      </w:r>
      <w:r>
        <w:rPr>
          <w:szCs w:val="32"/>
        </w:rPr>
        <w:t>严格按照有关要求开展集中整治工作，制止一切露天焚烧活动</w:t>
      </w:r>
      <w:r>
        <w:rPr>
          <w:rFonts w:hint="eastAsia"/>
          <w:szCs w:val="32"/>
        </w:rPr>
        <w:t>，已基本消除露天秸秆、垃圾焚烧现象，达到考核要求，评估得</w:t>
      </w:r>
      <w:r>
        <w:rPr>
          <w:szCs w:val="32"/>
        </w:rPr>
        <w:t>5</w:t>
      </w:r>
      <w:r>
        <w:rPr>
          <w:rFonts w:hint="eastAsia"/>
          <w:szCs w:val="32"/>
        </w:rPr>
        <w:t>分。</w:t>
      </w:r>
    </w:p>
    <w:p>
      <w:pPr>
        <w:ind w:firstLine="634" w:firstLineChars="200"/>
        <w:rPr>
          <w:szCs w:val="32"/>
        </w:rPr>
      </w:pPr>
      <w:r>
        <w:rPr>
          <w:rFonts w:hint="eastAsia"/>
          <w:szCs w:val="32"/>
        </w:rPr>
        <w:t>（1</w:t>
      </w:r>
      <w:r>
        <w:rPr>
          <w:szCs w:val="32"/>
        </w:rPr>
        <w:t>0</w:t>
      </w:r>
      <w:r>
        <w:rPr>
          <w:rFonts w:hint="eastAsia"/>
          <w:szCs w:val="32"/>
        </w:rPr>
        <w:t>）黑臭水体</w:t>
      </w:r>
    </w:p>
    <w:p>
      <w:pPr>
        <w:ind w:firstLine="634" w:firstLineChars="200"/>
        <w:rPr>
          <w:szCs w:val="32"/>
        </w:rPr>
      </w:pPr>
      <w:r>
        <w:rPr>
          <w:rFonts w:hint="eastAsia"/>
          <w:szCs w:val="32"/>
        </w:rPr>
        <w:t>【考核要求】：消除（</w:t>
      </w:r>
      <w:r>
        <w:rPr>
          <w:szCs w:val="32"/>
        </w:rPr>
        <w:t>5</w:t>
      </w:r>
      <w:r>
        <w:rPr>
          <w:rFonts w:hint="eastAsia"/>
          <w:szCs w:val="32"/>
        </w:rPr>
        <w:t>分）</w:t>
      </w:r>
    </w:p>
    <w:p>
      <w:pPr>
        <w:ind w:firstLine="634" w:firstLineChars="200"/>
        <w:rPr>
          <w:szCs w:val="32"/>
        </w:rPr>
      </w:pPr>
      <w:r>
        <w:rPr>
          <w:rFonts w:hint="eastAsia"/>
          <w:szCs w:val="32"/>
        </w:rPr>
        <w:t>【指标解释】：要求乡镇建成区基本消除黑臭水体。</w:t>
      </w:r>
    </w:p>
    <w:p>
      <w:pPr>
        <w:ind w:firstLine="634" w:firstLineChars="200"/>
        <w:rPr>
          <w:szCs w:val="32"/>
        </w:rPr>
      </w:pPr>
      <w:r>
        <w:rPr>
          <w:szCs w:val="32"/>
        </w:rPr>
        <w:t>【指标现状】：</w:t>
      </w:r>
      <w:r>
        <w:rPr>
          <w:rFonts w:hint="eastAsia"/>
          <w:szCs w:val="32"/>
        </w:rPr>
        <w:t>为全面保障九龙河水质稳定达标，加快推进千沟万塘黑臭水体整治工作，金龙镇印发实施《永川区金龙镇“千沟万塘”黑臭水体整治方案》，共清理上报5条沟和42个塘黑臭水体，通过实施截污、清淤、修复三步工程，已完成黑臭水体全部消除，达到考核要求，评估得</w:t>
      </w:r>
      <w:r>
        <w:rPr>
          <w:szCs w:val="32"/>
        </w:rPr>
        <w:t>5</w:t>
      </w:r>
      <w:r>
        <w:rPr>
          <w:rFonts w:hint="eastAsia"/>
          <w:szCs w:val="32"/>
        </w:rPr>
        <w:t>分</w:t>
      </w:r>
      <w:r>
        <w:rPr>
          <w:szCs w:val="32"/>
        </w:rPr>
        <w:t>。</w:t>
      </w:r>
    </w:p>
    <w:p>
      <w:pPr>
        <w:ind w:firstLine="634" w:firstLineChars="200"/>
        <w:rPr>
          <w:szCs w:val="32"/>
        </w:rPr>
      </w:pPr>
      <w:r>
        <w:rPr>
          <w:rFonts w:hint="eastAsia"/>
          <w:szCs w:val="32"/>
        </w:rPr>
        <w:t>（1</w:t>
      </w:r>
      <w:r>
        <w:rPr>
          <w:szCs w:val="32"/>
        </w:rPr>
        <w:t>1</w:t>
      </w:r>
      <w:r>
        <w:rPr>
          <w:rFonts w:hint="eastAsia"/>
          <w:szCs w:val="32"/>
        </w:rPr>
        <w:t>）违法入河排污口排查整治</w:t>
      </w:r>
    </w:p>
    <w:p>
      <w:pPr>
        <w:ind w:firstLine="634" w:firstLineChars="200"/>
        <w:rPr>
          <w:szCs w:val="32"/>
        </w:rPr>
      </w:pPr>
      <w:r>
        <w:rPr>
          <w:rFonts w:hint="eastAsia"/>
          <w:szCs w:val="32"/>
        </w:rPr>
        <w:t>【考核要求】：开展（</w:t>
      </w:r>
      <w:r>
        <w:rPr>
          <w:szCs w:val="32"/>
        </w:rPr>
        <w:t>5</w:t>
      </w:r>
      <w:r>
        <w:rPr>
          <w:rFonts w:hint="eastAsia"/>
          <w:szCs w:val="32"/>
        </w:rPr>
        <w:t>分）</w:t>
      </w:r>
    </w:p>
    <w:p>
      <w:pPr>
        <w:ind w:firstLine="634" w:firstLineChars="200"/>
        <w:rPr>
          <w:szCs w:val="32"/>
        </w:rPr>
      </w:pPr>
      <w:r>
        <w:rPr>
          <w:rFonts w:hint="eastAsia"/>
          <w:szCs w:val="32"/>
        </w:rPr>
        <w:t>【指标解释】：指乡镇开展违法入河排污口排查整治工作。</w:t>
      </w:r>
    </w:p>
    <w:p>
      <w:pPr>
        <w:ind w:firstLine="634" w:firstLineChars="200"/>
        <w:rPr>
          <w:szCs w:val="32"/>
        </w:rPr>
      </w:pPr>
      <w:r>
        <w:rPr>
          <w:rFonts w:hint="eastAsia"/>
          <w:szCs w:val="32"/>
        </w:rPr>
        <w:t>【指标现状】：近年来，金龙镇持续推进入河排污口排查整治工作，印发实施《永川区金龙镇开展污水乱排、岸线乱占、河道乱建“三乱”整治专项行动实施方案》，镇级相关部门（单位）和属地村（社区）进一步明确和压实责任，细化工作任务，全面排查每一个入河排污口，做到源头截污，同时严厉打击企业偷排直排污水等违法违规行为。金龙镇已达到考核要求，评估得</w:t>
      </w:r>
      <w:r>
        <w:rPr>
          <w:szCs w:val="32"/>
        </w:rPr>
        <w:t>5</w:t>
      </w:r>
      <w:r>
        <w:rPr>
          <w:rFonts w:hint="eastAsia"/>
          <w:szCs w:val="32"/>
        </w:rPr>
        <w:t>分</w:t>
      </w:r>
      <w:r>
        <w:rPr>
          <w:szCs w:val="32"/>
        </w:rPr>
        <w:t>。</w:t>
      </w:r>
    </w:p>
    <w:p>
      <w:pPr>
        <w:ind w:firstLine="634" w:firstLineChars="200"/>
        <w:rPr>
          <w:szCs w:val="32"/>
        </w:rPr>
      </w:pPr>
      <w:r>
        <w:rPr>
          <w:rFonts w:hint="eastAsia"/>
          <w:szCs w:val="32"/>
        </w:rPr>
        <w:t>（1</w:t>
      </w:r>
      <w:r>
        <w:rPr>
          <w:szCs w:val="32"/>
        </w:rPr>
        <w:t>2</w:t>
      </w:r>
      <w:r>
        <w:rPr>
          <w:rFonts w:hint="eastAsia"/>
          <w:szCs w:val="32"/>
        </w:rPr>
        <w:t>）散乱污企业集中整治</w:t>
      </w:r>
    </w:p>
    <w:p>
      <w:pPr>
        <w:ind w:firstLine="634" w:firstLineChars="200"/>
        <w:rPr>
          <w:szCs w:val="32"/>
        </w:rPr>
      </w:pPr>
      <w:r>
        <w:rPr>
          <w:rFonts w:hint="eastAsia"/>
          <w:szCs w:val="32"/>
        </w:rPr>
        <w:t>【考核要求】：开展（</w:t>
      </w:r>
      <w:r>
        <w:rPr>
          <w:szCs w:val="32"/>
        </w:rPr>
        <w:t>5</w:t>
      </w:r>
      <w:r>
        <w:rPr>
          <w:rFonts w:hint="eastAsia"/>
          <w:szCs w:val="32"/>
        </w:rPr>
        <w:t>分）</w:t>
      </w:r>
    </w:p>
    <w:p>
      <w:pPr>
        <w:ind w:firstLine="634" w:firstLineChars="200"/>
        <w:rPr>
          <w:szCs w:val="32"/>
        </w:rPr>
      </w:pPr>
      <w:r>
        <w:rPr>
          <w:rFonts w:hint="eastAsia"/>
          <w:szCs w:val="32"/>
        </w:rPr>
        <w:t>【指标解释】：指乡镇开展散乱污企业集中整治</w:t>
      </w:r>
    </w:p>
    <w:p>
      <w:pPr>
        <w:ind w:firstLine="634" w:firstLineChars="200"/>
        <w:rPr>
          <w:szCs w:val="32"/>
        </w:rPr>
      </w:pPr>
      <w:r>
        <w:rPr>
          <w:rFonts w:hint="eastAsia"/>
          <w:szCs w:val="32"/>
        </w:rPr>
        <w:t>【指标现状】：金龙镇全面落实永川区污染防治攻坚战要求，</w:t>
      </w:r>
      <w:r>
        <w:rPr>
          <w:szCs w:val="32"/>
        </w:rPr>
        <w:t>组织</w:t>
      </w:r>
      <w:r>
        <w:rPr>
          <w:rFonts w:hint="eastAsia"/>
          <w:szCs w:val="32"/>
        </w:rPr>
        <w:t>规建环办</w:t>
      </w:r>
      <w:r>
        <w:rPr>
          <w:szCs w:val="32"/>
        </w:rPr>
        <w:t>、经发办</w:t>
      </w:r>
      <w:r>
        <w:rPr>
          <w:rFonts w:hint="eastAsia"/>
          <w:szCs w:val="32"/>
        </w:rPr>
        <w:t>、农服中心</w:t>
      </w:r>
      <w:r>
        <w:rPr>
          <w:szCs w:val="32"/>
        </w:rPr>
        <w:t>等成员，对辖区内企业开展详细全面的摸底调查，建立</w:t>
      </w:r>
      <w:r>
        <w:rPr>
          <w:rFonts w:hint="eastAsia" w:ascii="方正仿宋_GBK"/>
          <w:szCs w:val="32"/>
        </w:rPr>
        <w:t>“</w:t>
      </w:r>
      <w:r>
        <w:rPr>
          <w:szCs w:val="32"/>
        </w:rPr>
        <w:t>散乱污</w:t>
      </w:r>
      <w:r>
        <w:rPr>
          <w:rFonts w:hint="eastAsia" w:ascii="方正仿宋_GBK"/>
          <w:szCs w:val="32"/>
        </w:rPr>
        <w:t>”</w:t>
      </w:r>
      <w:r>
        <w:rPr>
          <w:szCs w:val="32"/>
        </w:rPr>
        <w:t>企业排查整治台账，全面掌握企业现状，确保底数清、无遗漏、不乱报、企业信息完整。严格落实属地责任、部门监管责任和企业主体责任，明确分工、狠抓落实。加强关停停产企业管控，严禁再次违法生产。</w:t>
      </w:r>
      <w:r>
        <w:rPr>
          <w:rFonts w:hint="eastAsia"/>
          <w:szCs w:val="32"/>
        </w:rPr>
        <w:t>金龙镇已达到考核要求，评估得</w:t>
      </w:r>
      <w:r>
        <w:rPr>
          <w:szCs w:val="32"/>
        </w:rPr>
        <w:t>5</w:t>
      </w:r>
      <w:r>
        <w:rPr>
          <w:rFonts w:hint="eastAsia"/>
          <w:szCs w:val="32"/>
        </w:rPr>
        <w:t>分</w:t>
      </w:r>
      <w:r>
        <w:rPr>
          <w:szCs w:val="32"/>
        </w:rPr>
        <w:t>。</w:t>
      </w:r>
    </w:p>
    <w:p>
      <w:pPr>
        <w:ind w:firstLine="634" w:firstLineChars="200"/>
        <w:rPr>
          <w:szCs w:val="32"/>
        </w:rPr>
      </w:pPr>
      <w:r>
        <w:rPr>
          <w:rFonts w:hint="eastAsia"/>
          <w:szCs w:val="32"/>
        </w:rPr>
        <w:t>（1</w:t>
      </w:r>
      <w:r>
        <w:rPr>
          <w:szCs w:val="32"/>
        </w:rPr>
        <w:t>3</w:t>
      </w:r>
      <w:r>
        <w:rPr>
          <w:rFonts w:hint="eastAsia"/>
          <w:szCs w:val="32"/>
        </w:rPr>
        <w:t>）乡镇集中式饮用水水源地水质达标率</w:t>
      </w:r>
    </w:p>
    <w:p>
      <w:pPr>
        <w:ind w:firstLine="634" w:firstLineChars="200"/>
        <w:rPr>
          <w:szCs w:val="32"/>
        </w:rPr>
      </w:pPr>
      <w:r>
        <w:rPr>
          <w:rFonts w:hint="eastAsia"/>
          <w:szCs w:val="32"/>
        </w:rPr>
        <w:t>【考核要求】：1</w:t>
      </w:r>
      <w:r>
        <w:rPr>
          <w:szCs w:val="32"/>
        </w:rPr>
        <w:t>00%</w:t>
      </w:r>
      <w:r>
        <w:rPr>
          <w:rFonts w:hint="eastAsia"/>
          <w:szCs w:val="32"/>
        </w:rPr>
        <w:t>（</w:t>
      </w:r>
      <w:r>
        <w:rPr>
          <w:szCs w:val="32"/>
        </w:rPr>
        <w:t>5</w:t>
      </w:r>
      <w:r>
        <w:rPr>
          <w:rFonts w:hint="eastAsia"/>
          <w:szCs w:val="32"/>
        </w:rPr>
        <w:t>分）</w:t>
      </w:r>
    </w:p>
    <w:p>
      <w:pPr>
        <w:ind w:firstLine="634" w:firstLineChars="200"/>
        <w:rPr>
          <w:szCs w:val="32"/>
        </w:rPr>
      </w:pPr>
      <w:r>
        <w:rPr>
          <w:szCs w:val="32"/>
        </w:rPr>
        <w:t>【指标解释】：指行政区域内集中式饮用水水源地，其地表水水质达到或优于《地表水环境质量标准》（GB 3838-2002）</w:t>
      </w:r>
      <w:r>
        <w:rPr>
          <w:rFonts w:hint="eastAsia"/>
          <w:color w:val="auto"/>
          <w:szCs w:val="32"/>
          <w:lang w:eastAsia="zh-CN"/>
        </w:rPr>
        <w:t>Ⅲ</w:t>
      </w:r>
      <w:r>
        <w:rPr>
          <w:szCs w:val="32"/>
        </w:rPr>
        <w:t>类标准、地下水水质达到或优于《地下水质量标准》（GB/T 14848-2017）</w:t>
      </w:r>
      <w:r>
        <w:rPr>
          <w:rFonts w:hint="eastAsia"/>
          <w:color w:val="auto"/>
          <w:szCs w:val="32"/>
          <w:lang w:eastAsia="zh-CN"/>
        </w:rPr>
        <w:t>Ⅲ</w:t>
      </w:r>
      <w:r>
        <w:rPr>
          <w:szCs w:val="32"/>
        </w:rPr>
        <w:t>类标准的水源地个数占水源地总个数的百分比。</w:t>
      </w:r>
    </w:p>
    <w:p>
      <w:pPr>
        <w:ind w:firstLine="634" w:firstLineChars="200"/>
        <w:rPr>
          <w:szCs w:val="32"/>
        </w:rPr>
      </w:pPr>
      <w:r>
        <w:rPr>
          <w:rFonts w:hint="eastAsia"/>
          <w:szCs w:val="32"/>
        </w:rPr>
        <w:t>【指标现状】：金龙镇辖区内集中式饮用水源地金鼎寺水库、红旗水库、九龙河金龙水厂3个集中式饮用水源地，根据永川区集中式饮用水水源地水质监测数据，按照《地表水环境质量标准》(GB 3838-2002)评价，各集中式水源地水质达到Ⅲ类水质标准，饮用水水质状况良好。金龙镇已达到考核要求，评估得</w:t>
      </w:r>
      <w:r>
        <w:rPr>
          <w:szCs w:val="32"/>
        </w:rPr>
        <w:t>5</w:t>
      </w:r>
      <w:r>
        <w:rPr>
          <w:rFonts w:hint="eastAsia"/>
          <w:szCs w:val="32"/>
        </w:rPr>
        <w:t>分</w:t>
      </w:r>
      <w:r>
        <w:rPr>
          <w:szCs w:val="32"/>
        </w:rPr>
        <w:t>。</w:t>
      </w:r>
    </w:p>
    <w:p>
      <w:pPr>
        <w:ind w:firstLine="634" w:firstLineChars="200"/>
        <w:outlineLvl w:val="2"/>
        <w:rPr>
          <w:rFonts w:hint="eastAsia"/>
          <w:szCs w:val="32"/>
        </w:rPr>
      </w:pPr>
      <w:bookmarkStart w:id="37" w:name="_Toc106638414"/>
      <w:r>
        <w:rPr>
          <w:rFonts w:hint="eastAsia"/>
          <w:szCs w:val="32"/>
        </w:rPr>
        <w:t>3</w:t>
      </w:r>
      <w:r>
        <w:rPr>
          <w:szCs w:val="32"/>
        </w:rPr>
        <w:t>.3.4</w:t>
      </w:r>
      <w:r>
        <w:rPr>
          <w:rFonts w:hint="eastAsia"/>
          <w:szCs w:val="32"/>
        </w:rPr>
        <w:t>生态屏障</w:t>
      </w:r>
      <w:bookmarkEnd w:id="37"/>
    </w:p>
    <w:p>
      <w:pPr>
        <w:ind w:firstLine="634" w:firstLineChars="200"/>
        <w:rPr>
          <w:szCs w:val="32"/>
        </w:rPr>
      </w:pPr>
      <w:r>
        <w:rPr>
          <w:rFonts w:hint="eastAsia"/>
          <w:szCs w:val="32"/>
        </w:rPr>
        <w:t>（1</w:t>
      </w:r>
      <w:r>
        <w:rPr>
          <w:szCs w:val="32"/>
        </w:rPr>
        <w:t>4</w:t>
      </w:r>
      <w:r>
        <w:rPr>
          <w:rFonts w:hint="eastAsia"/>
          <w:szCs w:val="32"/>
        </w:rPr>
        <w:t>）森林覆盖率</w:t>
      </w:r>
    </w:p>
    <w:p>
      <w:pPr>
        <w:ind w:firstLine="634" w:firstLineChars="200"/>
        <w:rPr>
          <w:rFonts w:hint="eastAsia"/>
          <w:szCs w:val="32"/>
        </w:rPr>
      </w:pPr>
      <w:r>
        <w:rPr>
          <w:szCs w:val="32"/>
        </w:rPr>
        <w:t>【考核要求】：≥40%</w:t>
      </w:r>
      <w:r>
        <w:rPr>
          <w:rFonts w:hint="eastAsia"/>
          <w:szCs w:val="32"/>
        </w:rPr>
        <w:t>（</w:t>
      </w:r>
      <w:r>
        <w:rPr>
          <w:szCs w:val="32"/>
        </w:rPr>
        <w:t>5</w:t>
      </w:r>
      <w:r>
        <w:rPr>
          <w:rFonts w:hint="eastAsia"/>
          <w:szCs w:val="32"/>
        </w:rPr>
        <w:t>分）；</w:t>
      </w:r>
      <w:r>
        <w:rPr>
          <w:szCs w:val="32"/>
        </w:rPr>
        <w:t>40＞A≥35</w:t>
      </w:r>
      <w:r>
        <w:rPr>
          <w:rFonts w:hint="eastAsia"/>
          <w:szCs w:val="32"/>
        </w:rPr>
        <w:t>（3分）</w:t>
      </w:r>
    </w:p>
    <w:p>
      <w:pPr>
        <w:ind w:firstLine="634" w:firstLineChars="200"/>
        <w:rPr>
          <w:szCs w:val="32"/>
        </w:rPr>
      </w:pPr>
      <w:r>
        <w:rPr>
          <w:szCs w:val="32"/>
        </w:rPr>
        <w:t>【指标解释】：指行政区域内森林面积占土地总面积的百分比。森林面积包括郁闭度0.2以上的乔木林地面积和竹林地面积、国家特别规定的灌木林地面积、农田林网以及村旁、路旁、水旁、宅旁林木的覆盖面积。</w:t>
      </w:r>
    </w:p>
    <w:p>
      <w:pPr>
        <w:ind w:firstLine="634" w:firstLineChars="200"/>
        <w:rPr>
          <w:szCs w:val="32"/>
        </w:rPr>
      </w:pPr>
      <w:r>
        <w:rPr>
          <w:szCs w:val="32"/>
        </w:rPr>
        <w:t>【指标现状】：</w:t>
      </w:r>
      <w:r>
        <w:rPr>
          <w:rFonts w:hint="eastAsia"/>
          <w:szCs w:val="32"/>
        </w:rPr>
        <w:t>金龙镇常态化开展森林管护，共计管护森林面积4.</w:t>
      </w:r>
      <w:r>
        <w:rPr>
          <w:szCs w:val="32"/>
        </w:rPr>
        <w:t>7</w:t>
      </w:r>
      <w:r>
        <w:rPr>
          <w:rFonts w:hint="eastAsia"/>
          <w:szCs w:val="32"/>
        </w:rPr>
        <w:t>万余亩（约31.6平方公里），根据金龙</w:t>
      </w:r>
      <w:r>
        <w:rPr>
          <w:rFonts w:hint="eastAsia"/>
          <w:color w:val="auto"/>
          <w:szCs w:val="32"/>
        </w:rPr>
        <w:t>镇幅员面积</w:t>
      </w:r>
      <w:r>
        <w:rPr>
          <w:rFonts w:hint="eastAsia"/>
          <w:szCs w:val="32"/>
        </w:rPr>
        <w:t>73.5平方公里计算，得出森林覆盖率达到43%，评估得</w:t>
      </w:r>
      <w:r>
        <w:rPr>
          <w:szCs w:val="32"/>
        </w:rPr>
        <w:t>5</w:t>
      </w:r>
      <w:r>
        <w:rPr>
          <w:rFonts w:hint="eastAsia"/>
          <w:szCs w:val="32"/>
        </w:rPr>
        <w:t>分。</w:t>
      </w:r>
    </w:p>
    <w:p>
      <w:pPr>
        <w:ind w:firstLine="634" w:firstLineChars="200"/>
        <w:rPr>
          <w:szCs w:val="32"/>
        </w:rPr>
      </w:pPr>
      <w:r>
        <w:rPr>
          <w:rFonts w:hint="eastAsia"/>
          <w:szCs w:val="32"/>
        </w:rPr>
        <w:t>（1</w:t>
      </w:r>
      <w:r>
        <w:rPr>
          <w:szCs w:val="32"/>
        </w:rPr>
        <w:t>5</w:t>
      </w:r>
      <w:r>
        <w:rPr>
          <w:rFonts w:hint="eastAsia"/>
          <w:szCs w:val="32"/>
        </w:rPr>
        <w:t>）自然生态空间</w:t>
      </w:r>
    </w:p>
    <w:p>
      <w:pPr>
        <w:ind w:firstLine="634" w:firstLineChars="200"/>
        <w:rPr>
          <w:szCs w:val="32"/>
        </w:rPr>
      </w:pPr>
      <w:r>
        <w:rPr>
          <w:rFonts w:hint="eastAsia"/>
          <w:szCs w:val="32"/>
        </w:rPr>
        <w:t>【考核要求】：面积不减少，性质不改变，功能不降低，5分。</w:t>
      </w:r>
    </w:p>
    <w:p>
      <w:pPr>
        <w:ind w:firstLine="634" w:firstLineChars="200"/>
        <w:rPr>
          <w:szCs w:val="32"/>
        </w:rPr>
      </w:pPr>
      <w:r>
        <w:rPr>
          <w:rFonts w:hint="eastAsia"/>
          <w:szCs w:val="32"/>
        </w:rPr>
        <w:t>①生态保护红线</w:t>
      </w:r>
    </w:p>
    <w:p>
      <w:pPr>
        <w:ind w:firstLine="634" w:firstLineChars="200"/>
        <w:rPr>
          <w:szCs w:val="32"/>
        </w:rPr>
      </w:pPr>
      <w:r>
        <w:rPr>
          <w:rFonts w:hint="eastAsia"/>
          <w:szCs w:val="32"/>
        </w:rPr>
        <w:t>【指标解释】：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要求建立生态保护红线制度，确保生态保护红线面积不减少，性质不改变，主导生态功能不降低。主导生态功能评价暂时参照《关于印发</w:t>
      </w:r>
      <w:r>
        <w:rPr>
          <w:szCs w:val="32"/>
        </w:rPr>
        <w:t>&lt;生态保护红线划定指南&gt;的通知》（环办生态〔2017〕48号）和《关于开展生态保护红线评估工作的函》（自然资办函〔2019〕125号）。</w:t>
      </w:r>
    </w:p>
    <w:p>
      <w:pPr>
        <w:ind w:firstLine="634" w:firstLineChars="200"/>
        <w:rPr>
          <w:rFonts w:hint="eastAsia"/>
          <w:szCs w:val="32"/>
        </w:rPr>
      </w:pPr>
      <w:r>
        <w:rPr>
          <w:rFonts w:hint="eastAsia"/>
          <w:szCs w:val="32"/>
        </w:rPr>
        <w:t>【指标现状】：根据《重庆市人民政府关于发布重庆市生态保护红线的通知》（渝府发</w:t>
      </w:r>
      <w:r>
        <w:rPr>
          <w:szCs w:val="32"/>
        </w:rPr>
        <w:t>〔2018〕25</w:t>
      </w:r>
      <w:r>
        <w:rPr>
          <w:rFonts w:hint="eastAsia"/>
          <w:szCs w:val="32"/>
        </w:rPr>
        <w:t>号）文件，金龙镇涉及生态保护红线，主要根据茶山竹海、云雾山、饮用水水源地等保护区域划定的生态保护红线，生态保护红线面积约12.33平方公里。金龙镇严格落实国家、市级、永川区关于生态保护红线的管控要求，2021年，金龙镇做到了生态保护红线面积不减少，性质不改变，功能不降低。</w:t>
      </w:r>
    </w:p>
    <w:p>
      <w:pPr>
        <w:ind w:firstLine="634" w:firstLineChars="200"/>
        <w:rPr>
          <w:szCs w:val="32"/>
        </w:rPr>
      </w:pPr>
      <w:r>
        <w:rPr>
          <w:rFonts w:hint="eastAsia"/>
          <w:szCs w:val="32"/>
        </w:rPr>
        <w:t>②自然保护地</w:t>
      </w:r>
    </w:p>
    <w:p>
      <w:pPr>
        <w:ind w:firstLine="634" w:firstLineChars="200"/>
        <w:rPr>
          <w:szCs w:val="32"/>
        </w:rPr>
      </w:pPr>
      <w:r>
        <w:rPr>
          <w:rFonts w:hint="eastAsia"/>
          <w:szCs w:val="32"/>
        </w:rPr>
        <w:t>【指标解释】：指由政府依法划定或确认，对重要的自然生态系统、自然遗迹、自然景观及其所承载的自然资源、生态功能和文化价值实施长期保护的陆域或海域，包括国家公园、自然保护区以及森林公园、地质公园、海洋公园、湿地公园等各类自然公园。</w:t>
      </w:r>
    </w:p>
    <w:p>
      <w:pPr>
        <w:ind w:firstLine="634" w:firstLineChars="200"/>
        <w:rPr>
          <w:szCs w:val="32"/>
        </w:rPr>
      </w:pPr>
      <w:r>
        <w:rPr>
          <w:rFonts w:hint="eastAsia"/>
          <w:szCs w:val="32"/>
        </w:rPr>
        <w:t>【指标现状】：根据永川区自然保护地划分，金龙镇境内主要涉及茶山竹海国家森林公园，面积约3平方公里。金龙镇严格落实国家、市级、永川区关于自然保护地的管理要求，做到了面积不减少，性质不改变，功能不降低。</w:t>
      </w:r>
    </w:p>
    <w:p>
      <w:pPr>
        <w:ind w:firstLine="634" w:firstLineChars="200"/>
        <w:rPr>
          <w:rFonts w:hint="eastAsia"/>
          <w:szCs w:val="32"/>
        </w:rPr>
      </w:pPr>
      <w:r>
        <w:rPr>
          <w:rFonts w:hint="eastAsia"/>
          <w:szCs w:val="32"/>
        </w:rPr>
        <w:t>综上，金龙镇近几年严格管控生态保护红线和自然保护地，做到了自然生态空间面积不减少，性质不改变，功能不降低，金龙镇达到考核要求，评估得</w:t>
      </w:r>
      <w:r>
        <w:rPr>
          <w:szCs w:val="32"/>
        </w:rPr>
        <w:t>5</w:t>
      </w:r>
      <w:r>
        <w:rPr>
          <w:rFonts w:hint="eastAsia"/>
          <w:szCs w:val="32"/>
        </w:rPr>
        <w:t>分</w:t>
      </w:r>
      <w:r>
        <w:rPr>
          <w:szCs w:val="32"/>
        </w:rPr>
        <w:t>。</w:t>
      </w:r>
    </w:p>
    <w:p>
      <w:pPr>
        <w:ind w:firstLine="634" w:firstLineChars="200"/>
        <w:outlineLvl w:val="2"/>
        <w:rPr>
          <w:rFonts w:hint="eastAsia"/>
          <w:szCs w:val="32"/>
        </w:rPr>
      </w:pPr>
      <w:bookmarkStart w:id="38" w:name="_Toc106638415"/>
      <w:r>
        <w:rPr>
          <w:szCs w:val="32"/>
        </w:rPr>
        <w:t>3.3.5</w:t>
      </w:r>
      <w:r>
        <w:rPr>
          <w:rFonts w:hint="eastAsia"/>
          <w:szCs w:val="32"/>
        </w:rPr>
        <w:t>生态安全</w:t>
      </w:r>
      <w:bookmarkEnd w:id="38"/>
    </w:p>
    <w:p>
      <w:pPr>
        <w:ind w:firstLine="634" w:firstLineChars="200"/>
        <w:rPr>
          <w:szCs w:val="32"/>
        </w:rPr>
      </w:pPr>
      <w:r>
        <w:rPr>
          <w:rFonts w:hint="eastAsia"/>
          <w:szCs w:val="32"/>
        </w:rPr>
        <w:t>（1</w:t>
      </w:r>
      <w:r>
        <w:rPr>
          <w:szCs w:val="32"/>
        </w:rPr>
        <w:t>6</w:t>
      </w:r>
      <w:r>
        <w:rPr>
          <w:rFonts w:hint="eastAsia"/>
          <w:szCs w:val="32"/>
        </w:rPr>
        <w:t>）危险废物处置利用率</w:t>
      </w:r>
    </w:p>
    <w:p>
      <w:pPr>
        <w:ind w:firstLine="634" w:firstLineChars="200"/>
        <w:rPr>
          <w:szCs w:val="32"/>
        </w:rPr>
      </w:pPr>
      <w:r>
        <w:rPr>
          <w:rFonts w:hint="eastAsia"/>
          <w:szCs w:val="32"/>
        </w:rPr>
        <w:t>【考核要求】：</w:t>
      </w:r>
      <w:r>
        <w:rPr>
          <w:szCs w:val="32"/>
        </w:rPr>
        <w:t>100%</w:t>
      </w:r>
      <w:r>
        <w:rPr>
          <w:rFonts w:hint="eastAsia"/>
          <w:szCs w:val="32"/>
        </w:rPr>
        <w:t>（4分）</w:t>
      </w:r>
    </w:p>
    <w:p>
      <w:pPr>
        <w:ind w:firstLine="634" w:firstLineChars="200"/>
        <w:rPr>
          <w:szCs w:val="32"/>
        </w:rPr>
      </w:pPr>
      <w:r>
        <w:rPr>
          <w:rFonts w:hint="eastAsia"/>
          <w:szCs w:val="32"/>
        </w:rPr>
        <w:t>【指标解释】：指行政区域内危险废物实际利用量与处置量占应利用处置量的比例。危险废物指列入《国家危险废物名录》（2</w:t>
      </w:r>
      <w:r>
        <w:rPr>
          <w:szCs w:val="32"/>
        </w:rPr>
        <w:t>021</w:t>
      </w:r>
      <w:r>
        <w:rPr>
          <w:rFonts w:hint="eastAsia"/>
          <w:szCs w:val="32"/>
        </w:rPr>
        <w:t>年版</w:t>
      </w:r>
      <w:r>
        <w:rPr>
          <w:szCs w:val="32"/>
        </w:rPr>
        <w:t>）或者根据国家规定的危险废物鉴别标准和鉴别方法认定具有危险特性的固体废物。</w:t>
      </w:r>
    </w:p>
    <w:p>
      <w:pPr>
        <w:ind w:firstLine="634" w:firstLineChars="200"/>
        <w:rPr>
          <w:szCs w:val="32"/>
        </w:rPr>
      </w:pPr>
      <w:r>
        <w:rPr>
          <w:rFonts w:hint="eastAsia"/>
          <w:szCs w:val="32"/>
        </w:rPr>
        <w:t>【指标现状】：金龙镇全面落实永川区清废行动、危险废物专项检查等专项行动方案，对企业的产废情况、转移情况等进行了专项检查，并将情况上报。根据统计数据，2020年，金龙镇产生危险废物的企业为国石油天然气股份有限公司西南油气田分公司蜀南气矿（泸州华油浅层油气公司花浅11井），危险废物产生量为</w:t>
      </w:r>
      <w:r>
        <w:rPr>
          <w:szCs w:val="32"/>
        </w:rPr>
        <w:t>1.6</w:t>
      </w:r>
      <w:r>
        <w:rPr>
          <w:rFonts w:hint="eastAsia"/>
          <w:szCs w:val="32"/>
        </w:rPr>
        <w:t>吨，全部外运送持证单位处理，危险废物处置率为100%，达到考核要求，评估得4分。</w:t>
      </w:r>
    </w:p>
    <w:p>
      <w:pPr>
        <w:ind w:firstLine="634" w:firstLineChars="200"/>
        <w:rPr>
          <w:szCs w:val="32"/>
        </w:rPr>
      </w:pPr>
      <w:r>
        <w:rPr>
          <w:rFonts w:hint="eastAsia"/>
          <w:szCs w:val="32"/>
        </w:rPr>
        <w:t>（17）突发生态环境事件应急管理机制</w:t>
      </w:r>
    </w:p>
    <w:p>
      <w:pPr>
        <w:ind w:firstLine="634" w:firstLineChars="200"/>
        <w:rPr>
          <w:szCs w:val="32"/>
        </w:rPr>
      </w:pPr>
      <w:r>
        <w:rPr>
          <w:rFonts w:hint="eastAsia"/>
          <w:szCs w:val="32"/>
        </w:rPr>
        <w:t>【考核要求】：建立（4分）</w:t>
      </w:r>
    </w:p>
    <w:p>
      <w:pPr>
        <w:ind w:firstLine="634" w:firstLineChars="200"/>
        <w:rPr>
          <w:szCs w:val="32"/>
        </w:rPr>
      </w:pPr>
      <w:r>
        <w:rPr>
          <w:rFonts w:hint="eastAsia"/>
          <w:szCs w:val="32"/>
        </w:rPr>
        <w:t>【指标解释】：指行政区域内各级生态环境主管部门和企业事业单位组织开展的突发生态环境事件风险控制、应急准备、应急处置、事后恢复等工作。建立突发生态环境事件应急管理机制，以预防和减少突发生态环境事件的发生，控制、减轻和消除突发生态环境事件引起的危害，规范突发生态环境事件应急管理工作。</w:t>
      </w:r>
    </w:p>
    <w:p>
      <w:pPr>
        <w:ind w:firstLine="634" w:firstLineChars="200"/>
        <w:rPr>
          <w:rFonts w:hint="eastAsia"/>
          <w:szCs w:val="32"/>
        </w:rPr>
      </w:pPr>
      <w:r>
        <w:rPr>
          <w:rFonts w:hint="eastAsia"/>
          <w:szCs w:val="32"/>
        </w:rPr>
        <w:t>【指标现状】：金龙镇全面落实《重庆市永川区突发环境事件应急预案》（永川府办发〔</w:t>
      </w:r>
      <w:r>
        <w:rPr>
          <w:szCs w:val="32"/>
        </w:rPr>
        <w:t>2016〕133号），建立并完善了环境安全监测体系，</w:t>
      </w:r>
      <w:r>
        <w:rPr>
          <w:rFonts w:hint="eastAsia"/>
          <w:szCs w:val="32"/>
        </w:rPr>
        <w:t>积极配合</w:t>
      </w:r>
      <w:r>
        <w:rPr>
          <w:szCs w:val="32"/>
        </w:rPr>
        <w:t>区生态环境局、区水利局、区农业农村委、区气象局等有关部门加强日常监测</w:t>
      </w:r>
      <w:r>
        <w:rPr>
          <w:rFonts w:hint="eastAsia"/>
          <w:szCs w:val="32"/>
        </w:rPr>
        <w:t>。对突发环境事件分级响应，并制定了相应措施，“十三五”期间，全面落实企业突发环境事件风险评估制度，金龙镇</w:t>
      </w:r>
      <w:r>
        <w:rPr>
          <w:szCs w:val="32"/>
        </w:rPr>
        <w:t>达到考核要求</w:t>
      </w:r>
      <w:r>
        <w:rPr>
          <w:rFonts w:hint="eastAsia"/>
          <w:szCs w:val="32"/>
        </w:rPr>
        <w:t>，评估得4分</w:t>
      </w:r>
      <w:r>
        <w:rPr>
          <w:szCs w:val="32"/>
        </w:rPr>
        <w:t>。</w:t>
      </w:r>
    </w:p>
    <w:p>
      <w:pPr>
        <w:ind w:firstLine="634" w:firstLineChars="200"/>
        <w:outlineLvl w:val="2"/>
        <w:rPr>
          <w:rFonts w:hint="eastAsia"/>
          <w:szCs w:val="32"/>
        </w:rPr>
      </w:pPr>
      <w:bookmarkStart w:id="39" w:name="_Toc106638416"/>
      <w:r>
        <w:rPr>
          <w:rFonts w:hint="eastAsia"/>
          <w:szCs w:val="32"/>
        </w:rPr>
        <w:t>3</w:t>
      </w:r>
      <w:r>
        <w:rPr>
          <w:szCs w:val="32"/>
        </w:rPr>
        <w:t>.3.6</w:t>
      </w:r>
      <w:r>
        <w:rPr>
          <w:rFonts w:hint="eastAsia"/>
          <w:szCs w:val="32"/>
        </w:rPr>
        <w:t>生态人居</w:t>
      </w:r>
      <w:bookmarkEnd w:id="39"/>
    </w:p>
    <w:p>
      <w:pPr>
        <w:ind w:firstLine="634" w:firstLineChars="200"/>
        <w:rPr>
          <w:szCs w:val="32"/>
        </w:rPr>
      </w:pPr>
      <w:r>
        <w:rPr>
          <w:rFonts w:hint="eastAsia"/>
          <w:szCs w:val="32"/>
        </w:rPr>
        <w:t>（1</w:t>
      </w:r>
      <w:r>
        <w:rPr>
          <w:szCs w:val="32"/>
        </w:rPr>
        <w:t>8</w:t>
      </w:r>
      <w:r>
        <w:rPr>
          <w:rFonts w:hint="eastAsia"/>
          <w:szCs w:val="32"/>
        </w:rPr>
        <w:t>）乡镇集中式生活污水处理率</w:t>
      </w:r>
    </w:p>
    <w:p>
      <w:pPr>
        <w:ind w:firstLine="634" w:firstLineChars="200"/>
        <w:rPr>
          <w:rFonts w:hint="eastAsia"/>
          <w:szCs w:val="32"/>
        </w:rPr>
      </w:pPr>
      <w:r>
        <w:rPr>
          <w:rFonts w:hint="eastAsia"/>
          <w:szCs w:val="32"/>
        </w:rPr>
        <w:t>【考核要求】：</w:t>
      </w:r>
      <w:r>
        <w:rPr>
          <w:szCs w:val="32"/>
        </w:rPr>
        <w:t>≥85%</w:t>
      </w:r>
      <w:r>
        <w:rPr>
          <w:rFonts w:hint="eastAsia"/>
          <w:szCs w:val="32"/>
        </w:rPr>
        <w:t>（5分）；</w:t>
      </w:r>
      <w:r>
        <w:rPr>
          <w:szCs w:val="32"/>
        </w:rPr>
        <w:t>85＞A≥80</w:t>
      </w:r>
      <w:r>
        <w:rPr>
          <w:rFonts w:hint="eastAsia"/>
          <w:szCs w:val="32"/>
        </w:rPr>
        <w:t>（3分）；</w:t>
      </w:r>
      <w:r>
        <w:rPr>
          <w:szCs w:val="32"/>
        </w:rPr>
        <w:t>80＞A≥75</w:t>
      </w:r>
      <w:r>
        <w:rPr>
          <w:rFonts w:hint="eastAsia"/>
          <w:szCs w:val="32"/>
        </w:rPr>
        <w:t>（1分）</w:t>
      </w:r>
    </w:p>
    <w:p>
      <w:pPr>
        <w:ind w:firstLine="634" w:firstLineChars="200"/>
        <w:rPr>
          <w:szCs w:val="32"/>
        </w:rPr>
      </w:pPr>
      <w:r>
        <w:rPr>
          <w:rFonts w:hint="eastAsia"/>
          <w:szCs w:val="32"/>
        </w:rPr>
        <w:t>【指标解释】：指乡镇建成区内经过污水处理厂或其他污水处理设施处理，且达到排放标准的排水量占污水排放总量的百分比。要求污水处理厂污泥得到安全处置，污泥处置参照《城镇排水与污水处理条例》（国务院令第</w:t>
      </w:r>
      <w:r>
        <w:rPr>
          <w:szCs w:val="32"/>
        </w:rPr>
        <w:t>641号）执行。</w:t>
      </w:r>
    </w:p>
    <w:p>
      <w:pPr>
        <w:ind w:firstLine="634" w:firstLineChars="200"/>
        <w:rPr>
          <w:rFonts w:hint="eastAsia"/>
          <w:szCs w:val="32"/>
        </w:rPr>
      </w:pPr>
      <w:r>
        <w:rPr>
          <w:rFonts w:hint="eastAsia"/>
          <w:szCs w:val="32"/>
        </w:rPr>
        <w:t>【指标现状】：2</w:t>
      </w:r>
      <w:r>
        <w:rPr>
          <w:szCs w:val="32"/>
        </w:rPr>
        <w:t>021</w:t>
      </w:r>
      <w:r>
        <w:rPr>
          <w:rFonts w:hint="eastAsia"/>
          <w:szCs w:val="32"/>
        </w:rPr>
        <w:t>年，金龙镇3个场镇生活污水治理设施配套齐全，金龙镇现有污水处理厂1座，污水处理站2个，通过近2年开展市政污水管网排查整改，配套完善污水管网15.5公里，场镇集中式生活污水处理率达到</w:t>
      </w:r>
      <w:r>
        <w:rPr>
          <w:szCs w:val="32"/>
        </w:rPr>
        <w:t>99</w:t>
      </w:r>
      <w:r>
        <w:rPr>
          <w:rFonts w:hint="eastAsia"/>
          <w:szCs w:val="32"/>
        </w:rPr>
        <w:t>%。金龙镇达到考核要求，评估得5分。</w:t>
      </w:r>
    </w:p>
    <w:p>
      <w:pPr>
        <w:ind w:firstLine="634" w:firstLineChars="200"/>
        <w:rPr>
          <w:szCs w:val="32"/>
        </w:rPr>
      </w:pPr>
      <w:r>
        <w:rPr>
          <w:rFonts w:hint="eastAsia"/>
          <w:szCs w:val="32"/>
        </w:rPr>
        <w:t>（1</w:t>
      </w:r>
      <w:r>
        <w:rPr>
          <w:szCs w:val="32"/>
        </w:rPr>
        <w:t>9</w:t>
      </w:r>
      <w:r>
        <w:rPr>
          <w:rFonts w:hint="eastAsia"/>
          <w:szCs w:val="32"/>
        </w:rPr>
        <w:t>）生活垃圾收集转运率</w:t>
      </w:r>
    </w:p>
    <w:p>
      <w:pPr>
        <w:ind w:firstLine="634" w:firstLineChars="200"/>
        <w:rPr>
          <w:rFonts w:hint="eastAsia"/>
          <w:szCs w:val="32"/>
        </w:rPr>
      </w:pPr>
      <w:r>
        <w:rPr>
          <w:rFonts w:hint="eastAsia"/>
          <w:szCs w:val="32"/>
        </w:rPr>
        <w:t>【考核要求】：</w:t>
      </w:r>
      <w:r>
        <w:rPr>
          <w:szCs w:val="32"/>
        </w:rPr>
        <w:t>≥95%</w:t>
      </w:r>
      <w:r>
        <w:rPr>
          <w:rFonts w:hint="eastAsia"/>
          <w:szCs w:val="32"/>
        </w:rPr>
        <w:t>（5分）；</w:t>
      </w:r>
      <w:r>
        <w:rPr>
          <w:szCs w:val="32"/>
        </w:rPr>
        <w:t>95＞A≥90</w:t>
      </w:r>
      <w:r>
        <w:rPr>
          <w:rFonts w:hint="eastAsia"/>
          <w:szCs w:val="32"/>
        </w:rPr>
        <w:t>（3分）；</w:t>
      </w:r>
      <w:r>
        <w:rPr>
          <w:szCs w:val="32"/>
        </w:rPr>
        <w:t>90＞A≥85</w:t>
      </w:r>
      <w:r>
        <w:rPr>
          <w:rFonts w:hint="eastAsia"/>
          <w:szCs w:val="32"/>
        </w:rPr>
        <w:t>（1分）</w:t>
      </w:r>
    </w:p>
    <w:p>
      <w:pPr>
        <w:ind w:firstLine="634" w:firstLineChars="200"/>
        <w:rPr>
          <w:szCs w:val="32"/>
        </w:rPr>
      </w:pPr>
      <w:r>
        <w:rPr>
          <w:rFonts w:hint="eastAsia"/>
          <w:szCs w:val="32"/>
        </w:rPr>
        <w:t>【指标解释】：指辖区内生活垃圾转运量占垃圾产生量的百分比。</w:t>
      </w:r>
    </w:p>
    <w:p>
      <w:pPr>
        <w:ind w:firstLine="634" w:firstLineChars="200"/>
        <w:rPr>
          <w:szCs w:val="32"/>
        </w:rPr>
      </w:pPr>
      <w:r>
        <w:rPr>
          <w:rFonts w:hint="eastAsia"/>
          <w:szCs w:val="32"/>
        </w:rPr>
        <w:t>【指标现状】：金龙镇场镇垃圾采用政府购买垃圾清运服务的方式，农村区域完善“户收集、村集中、镇转运”的长效机制，拆除老旧闲置垃圾池，新配备垃圾桶300个，钩背箱33个，垃圾转运电动三轮车8辆，落实专人监督，聘请保洁员91人，收集后由专业公司运输（服务外包），治理水平得到提高。2</w:t>
      </w:r>
      <w:r>
        <w:rPr>
          <w:szCs w:val="32"/>
        </w:rPr>
        <w:t>021</w:t>
      </w:r>
      <w:r>
        <w:rPr>
          <w:rFonts w:hint="eastAsia"/>
          <w:szCs w:val="32"/>
        </w:rPr>
        <w:t>年，金龙镇生活垃圾收集转运率达</w:t>
      </w:r>
      <w:r>
        <w:rPr>
          <w:szCs w:val="32"/>
        </w:rPr>
        <w:t>100</w:t>
      </w:r>
      <w:r>
        <w:rPr>
          <w:rFonts w:hint="eastAsia"/>
          <w:szCs w:val="32"/>
        </w:rPr>
        <w:t>%，达到考核要求，评估得5分。</w:t>
      </w:r>
    </w:p>
    <w:p>
      <w:pPr>
        <w:ind w:firstLine="634" w:firstLineChars="200"/>
        <w:rPr>
          <w:szCs w:val="32"/>
        </w:rPr>
      </w:pPr>
      <w:r>
        <w:rPr>
          <w:rFonts w:hint="eastAsia"/>
          <w:szCs w:val="32"/>
        </w:rPr>
        <w:t>（2</w:t>
      </w:r>
      <w:r>
        <w:rPr>
          <w:szCs w:val="32"/>
        </w:rPr>
        <w:t>0</w:t>
      </w:r>
      <w:r>
        <w:rPr>
          <w:rFonts w:hint="eastAsia"/>
          <w:szCs w:val="32"/>
        </w:rPr>
        <w:t>）使用清洁能源的户数比例</w:t>
      </w:r>
    </w:p>
    <w:p>
      <w:pPr>
        <w:ind w:firstLine="634" w:firstLineChars="200"/>
        <w:rPr>
          <w:rFonts w:hint="eastAsia"/>
          <w:szCs w:val="32"/>
        </w:rPr>
      </w:pPr>
      <w:r>
        <w:rPr>
          <w:rFonts w:hint="eastAsia"/>
          <w:szCs w:val="32"/>
        </w:rPr>
        <w:t>【考核要求】：</w:t>
      </w:r>
      <w:r>
        <w:rPr>
          <w:szCs w:val="32"/>
        </w:rPr>
        <w:t>≥</w:t>
      </w:r>
      <w:r>
        <w:rPr>
          <w:rFonts w:hint="eastAsia"/>
          <w:szCs w:val="32"/>
        </w:rPr>
        <w:t>6</w:t>
      </w:r>
      <w:r>
        <w:rPr>
          <w:szCs w:val="32"/>
        </w:rPr>
        <w:t>0%</w:t>
      </w:r>
      <w:r>
        <w:rPr>
          <w:rFonts w:hint="eastAsia"/>
          <w:szCs w:val="32"/>
        </w:rPr>
        <w:t>（4分）；</w:t>
      </w:r>
      <w:r>
        <w:rPr>
          <w:szCs w:val="32"/>
        </w:rPr>
        <w:t>60＞A≥50</w:t>
      </w:r>
      <w:r>
        <w:rPr>
          <w:rFonts w:hint="eastAsia"/>
          <w:szCs w:val="32"/>
        </w:rPr>
        <w:t>（2分）</w:t>
      </w:r>
    </w:p>
    <w:p>
      <w:pPr>
        <w:ind w:firstLine="634" w:firstLineChars="200"/>
        <w:rPr>
          <w:szCs w:val="32"/>
        </w:rPr>
      </w:pPr>
      <w:r>
        <w:rPr>
          <w:rFonts w:hint="eastAsia"/>
          <w:szCs w:val="32"/>
        </w:rPr>
        <w:t>【指标解释】：指辖区内使用清洁能源的户数占总户数的百分比。</w:t>
      </w:r>
    </w:p>
    <w:p>
      <w:pPr>
        <w:ind w:firstLine="634" w:firstLineChars="200"/>
        <w:rPr>
          <w:szCs w:val="32"/>
        </w:rPr>
      </w:pPr>
      <w:r>
        <w:rPr>
          <w:rFonts w:hint="eastAsia"/>
          <w:szCs w:val="32"/>
        </w:rPr>
        <w:t>【指标现状】：2</w:t>
      </w:r>
      <w:r>
        <w:rPr>
          <w:szCs w:val="32"/>
        </w:rPr>
        <w:t>021</w:t>
      </w:r>
      <w:r>
        <w:rPr>
          <w:rFonts w:hint="eastAsia"/>
          <w:szCs w:val="32"/>
        </w:rPr>
        <w:t>年，金龙镇全镇共计户数</w:t>
      </w:r>
      <w:r>
        <w:rPr>
          <w:szCs w:val="32"/>
        </w:rPr>
        <w:t>11297</w:t>
      </w:r>
      <w:r>
        <w:rPr>
          <w:rFonts w:hint="eastAsia"/>
          <w:szCs w:val="32"/>
        </w:rPr>
        <w:t>户，根据经发办统计，全镇天然气使用户数为</w:t>
      </w:r>
      <w:r>
        <w:rPr>
          <w:szCs w:val="32"/>
        </w:rPr>
        <w:t>4935</w:t>
      </w:r>
      <w:r>
        <w:rPr>
          <w:rFonts w:hint="eastAsia"/>
          <w:szCs w:val="32"/>
        </w:rPr>
        <w:t>户，使用太阳能的约</w:t>
      </w:r>
      <w:r>
        <w:rPr>
          <w:szCs w:val="32"/>
        </w:rPr>
        <w:t>2000</w:t>
      </w:r>
      <w:r>
        <w:rPr>
          <w:rFonts w:hint="eastAsia"/>
          <w:szCs w:val="32"/>
        </w:rPr>
        <w:t>户，金龙镇使用清洁能源的户数比例</w:t>
      </w:r>
      <w:r>
        <w:rPr>
          <w:szCs w:val="32"/>
        </w:rPr>
        <w:t>61%</w:t>
      </w:r>
      <w:r>
        <w:rPr>
          <w:rFonts w:hint="eastAsia"/>
          <w:szCs w:val="32"/>
        </w:rPr>
        <w:t>，达到考核要求，评估得4分。</w:t>
      </w:r>
    </w:p>
    <w:p>
      <w:pPr>
        <w:ind w:firstLine="634" w:firstLineChars="200"/>
        <w:rPr>
          <w:szCs w:val="32"/>
        </w:rPr>
      </w:pPr>
      <w:r>
        <w:rPr>
          <w:rFonts w:hint="eastAsia"/>
          <w:szCs w:val="32"/>
        </w:rPr>
        <w:t>（2</w:t>
      </w:r>
      <w:r>
        <w:rPr>
          <w:szCs w:val="32"/>
        </w:rPr>
        <w:t>1</w:t>
      </w:r>
      <w:r>
        <w:rPr>
          <w:rFonts w:hint="eastAsia"/>
          <w:szCs w:val="32"/>
        </w:rPr>
        <w:t>）无害化卫生厕所普及率</w:t>
      </w:r>
    </w:p>
    <w:p>
      <w:pPr>
        <w:ind w:firstLine="634" w:firstLineChars="200"/>
        <w:rPr>
          <w:szCs w:val="32"/>
        </w:rPr>
      </w:pPr>
      <w:r>
        <w:rPr>
          <w:rFonts w:hint="eastAsia"/>
          <w:szCs w:val="32"/>
        </w:rPr>
        <w:t>【考核要求】：完成区县规定的目标任务（</w:t>
      </w:r>
      <w:r>
        <w:rPr>
          <w:szCs w:val="32"/>
        </w:rPr>
        <w:t>5</w:t>
      </w:r>
      <w:r>
        <w:rPr>
          <w:rFonts w:hint="eastAsia"/>
          <w:szCs w:val="32"/>
        </w:rPr>
        <w:t>分）</w:t>
      </w:r>
    </w:p>
    <w:p>
      <w:pPr>
        <w:ind w:firstLine="634" w:firstLineChars="200"/>
        <w:rPr>
          <w:szCs w:val="32"/>
        </w:rPr>
      </w:pPr>
      <w:r>
        <w:rPr>
          <w:rFonts w:hint="eastAsia"/>
          <w:szCs w:val="32"/>
        </w:rPr>
        <w:t>【指标解释】：指行政区使用卫生厕所的农户占农户总数的比例。执行《农村户厕卫生标准》（</w:t>
      </w:r>
      <w:r>
        <w:rPr>
          <w:szCs w:val="32"/>
        </w:rPr>
        <w:t>GB19379-2003）。</w:t>
      </w:r>
    </w:p>
    <w:p>
      <w:pPr>
        <w:ind w:firstLine="634" w:firstLineChars="200"/>
        <w:rPr>
          <w:rFonts w:hint="eastAsia"/>
          <w:szCs w:val="32"/>
        </w:rPr>
      </w:pPr>
      <w:r>
        <w:rPr>
          <w:rFonts w:hint="eastAsia"/>
          <w:szCs w:val="32"/>
        </w:rPr>
        <w:t>【指标现状】：近年来，金龙镇按照区级相关部门工作安排，积极推进“厕所革命”，截</w:t>
      </w:r>
      <w:r>
        <w:rPr>
          <w:rFonts w:hint="eastAsia"/>
          <w:color w:val="auto"/>
          <w:szCs w:val="32"/>
        </w:rPr>
        <w:t>止</w:t>
      </w:r>
      <w:r>
        <w:rPr>
          <w:rFonts w:hint="eastAsia"/>
          <w:szCs w:val="32"/>
        </w:rPr>
        <w:t>2</w:t>
      </w:r>
      <w:r>
        <w:rPr>
          <w:szCs w:val="32"/>
        </w:rPr>
        <w:t>021</w:t>
      </w:r>
      <w:r>
        <w:rPr>
          <w:rFonts w:hint="eastAsia"/>
          <w:szCs w:val="32"/>
        </w:rPr>
        <w:t>年，全镇实施卫生厕所改造累计</w:t>
      </w:r>
      <w:r>
        <w:rPr>
          <w:szCs w:val="32"/>
        </w:rPr>
        <w:t>7118户，</w:t>
      </w:r>
      <w:r>
        <w:rPr>
          <w:rFonts w:hint="eastAsia"/>
          <w:szCs w:val="32"/>
        </w:rPr>
        <w:t>按照全镇</w:t>
      </w:r>
      <w:r>
        <w:rPr>
          <w:szCs w:val="32"/>
        </w:rPr>
        <w:t>11297</w:t>
      </w:r>
      <w:r>
        <w:rPr>
          <w:rFonts w:hint="eastAsia"/>
          <w:szCs w:val="32"/>
        </w:rPr>
        <w:t>户计算，无害化卫生厕所普及率</w:t>
      </w:r>
      <w:r>
        <w:rPr>
          <w:szCs w:val="32"/>
        </w:rPr>
        <w:t>约63</w:t>
      </w:r>
      <w:r>
        <w:rPr>
          <w:rFonts w:hint="eastAsia"/>
          <w:szCs w:val="32"/>
        </w:rPr>
        <w:t>%，完成区级规定的目标任务，金龙镇达到考核要求，评估得5分。</w:t>
      </w:r>
    </w:p>
    <w:p>
      <w:pPr>
        <w:ind w:firstLine="634" w:firstLineChars="200"/>
        <w:outlineLvl w:val="2"/>
        <w:rPr>
          <w:rFonts w:hint="eastAsia"/>
          <w:szCs w:val="32"/>
        </w:rPr>
      </w:pPr>
      <w:bookmarkStart w:id="40" w:name="_Toc106638417"/>
      <w:r>
        <w:rPr>
          <w:rFonts w:hint="eastAsia"/>
          <w:szCs w:val="32"/>
        </w:rPr>
        <w:t>3</w:t>
      </w:r>
      <w:r>
        <w:rPr>
          <w:szCs w:val="32"/>
        </w:rPr>
        <w:t>.3.7</w:t>
      </w:r>
      <w:r>
        <w:rPr>
          <w:rFonts w:hint="eastAsia"/>
          <w:szCs w:val="32"/>
        </w:rPr>
        <w:t>生态文化</w:t>
      </w:r>
      <w:bookmarkEnd w:id="40"/>
    </w:p>
    <w:p>
      <w:pPr>
        <w:ind w:firstLine="634" w:firstLineChars="200"/>
        <w:rPr>
          <w:szCs w:val="32"/>
        </w:rPr>
      </w:pPr>
      <w:r>
        <w:rPr>
          <w:rFonts w:hint="eastAsia"/>
          <w:szCs w:val="32"/>
        </w:rPr>
        <w:t>（2</w:t>
      </w:r>
      <w:r>
        <w:rPr>
          <w:szCs w:val="32"/>
        </w:rPr>
        <w:t>2</w:t>
      </w:r>
      <w:r>
        <w:rPr>
          <w:rFonts w:hint="eastAsia"/>
          <w:szCs w:val="32"/>
        </w:rPr>
        <w:t>）将生态文明培训纳入乡镇年度培训计划</w:t>
      </w:r>
    </w:p>
    <w:p>
      <w:pPr>
        <w:ind w:firstLine="634" w:firstLineChars="200"/>
        <w:rPr>
          <w:szCs w:val="32"/>
        </w:rPr>
      </w:pPr>
      <w:r>
        <w:rPr>
          <w:rFonts w:hint="eastAsia"/>
          <w:szCs w:val="32"/>
        </w:rPr>
        <w:t>【考核要求】：是（3分）</w:t>
      </w:r>
    </w:p>
    <w:p>
      <w:pPr>
        <w:ind w:firstLine="634" w:firstLineChars="200"/>
        <w:rPr>
          <w:szCs w:val="32"/>
        </w:rPr>
      </w:pPr>
      <w:r>
        <w:rPr>
          <w:rFonts w:hint="eastAsia"/>
          <w:szCs w:val="32"/>
        </w:rPr>
        <w:t>【指标解释】：指乡镇党委及人民政府将生态文明培训纳入乡镇年度培训计划，制定培训计划或方案等。</w:t>
      </w:r>
    </w:p>
    <w:p>
      <w:pPr>
        <w:ind w:firstLine="634" w:firstLineChars="200"/>
        <w:rPr>
          <w:szCs w:val="32"/>
        </w:rPr>
      </w:pPr>
      <w:r>
        <w:rPr>
          <w:rFonts w:hint="eastAsia"/>
          <w:szCs w:val="32"/>
        </w:rPr>
        <w:t>【指标现状】：为深入学习贯彻</w:t>
      </w:r>
      <w:r>
        <w:rPr>
          <w:rFonts w:hint="eastAsia"/>
          <w:color w:val="auto"/>
          <w:szCs w:val="32"/>
        </w:rPr>
        <w:t>习近平生态文明思想</w:t>
      </w:r>
      <w:r>
        <w:rPr>
          <w:rFonts w:hint="eastAsia"/>
          <w:szCs w:val="32"/>
        </w:rPr>
        <w:t>，以及习近平总书记视察重庆重要讲话精神，金龙镇积极响应区级相关部门组织党政领导干部生态文明培训会议。严格落实《永川区领导班子综合考核实施办法》，作为党政领导班子考核重要内容。同时将生态法治教育和生态文明建设内容纳入党政领导干部教育必修内容，生态文明意识不断加强。镇党政主要负责人定期、不定期</w:t>
      </w:r>
      <w:r>
        <w:rPr>
          <w:rFonts w:hint="eastAsia"/>
          <w:szCs w:val="32"/>
          <w:lang w:eastAsia="zh-CN"/>
        </w:rPr>
        <w:t>地</w:t>
      </w:r>
      <w:r>
        <w:rPr>
          <w:rFonts w:hint="eastAsia"/>
          <w:szCs w:val="32"/>
        </w:rPr>
        <w:t>研究生态环境保护工作，202</w:t>
      </w:r>
      <w:r>
        <w:rPr>
          <w:szCs w:val="32"/>
        </w:rPr>
        <w:t>0</w:t>
      </w:r>
      <w:r>
        <w:rPr>
          <w:rFonts w:hint="eastAsia"/>
          <w:szCs w:val="32"/>
        </w:rPr>
        <w:t>年共研究生态环境保护工作共</w:t>
      </w:r>
      <w:r>
        <w:rPr>
          <w:szCs w:val="32"/>
        </w:rPr>
        <w:t>28</w:t>
      </w:r>
      <w:r>
        <w:rPr>
          <w:rFonts w:hint="eastAsia"/>
          <w:szCs w:val="32"/>
        </w:rPr>
        <w:t>次，金龙镇达到考核要求，评估得3分。</w:t>
      </w:r>
    </w:p>
    <w:p>
      <w:pPr>
        <w:ind w:firstLine="634" w:firstLineChars="200"/>
        <w:rPr>
          <w:szCs w:val="32"/>
        </w:rPr>
      </w:pPr>
      <w:r>
        <w:rPr>
          <w:rFonts w:hint="eastAsia"/>
          <w:szCs w:val="32"/>
        </w:rPr>
        <w:t>（2</w:t>
      </w:r>
      <w:r>
        <w:rPr>
          <w:szCs w:val="32"/>
        </w:rPr>
        <w:t>3</w:t>
      </w:r>
      <w:r>
        <w:rPr>
          <w:rFonts w:hint="eastAsia"/>
          <w:szCs w:val="32"/>
        </w:rPr>
        <w:t>）生态文明建设宣传工作</w:t>
      </w:r>
    </w:p>
    <w:p>
      <w:pPr>
        <w:ind w:firstLine="634" w:firstLineChars="200"/>
        <w:rPr>
          <w:szCs w:val="32"/>
        </w:rPr>
      </w:pPr>
      <w:r>
        <w:rPr>
          <w:rFonts w:hint="eastAsia"/>
          <w:szCs w:val="32"/>
        </w:rPr>
        <w:t>【考核要求】：开展（3分）</w:t>
      </w:r>
    </w:p>
    <w:p>
      <w:pPr>
        <w:ind w:firstLine="634" w:firstLineChars="200"/>
        <w:rPr>
          <w:szCs w:val="32"/>
        </w:rPr>
      </w:pPr>
      <w:r>
        <w:rPr>
          <w:rFonts w:hint="eastAsia"/>
          <w:szCs w:val="32"/>
        </w:rPr>
        <w:t>【指标解释】：指乡镇党委及人民政府制定并落实宣传计划或方案。</w:t>
      </w:r>
    </w:p>
    <w:p>
      <w:pPr>
        <w:ind w:firstLine="634" w:firstLineChars="200"/>
        <w:rPr>
          <w:szCs w:val="32"/>
        </w:rPr>
      </w:pPr>
      <w:r>
        <w:rPr>
          <w:rFonts w:hint="eastAsia"/>
          <w:szCs w:val="32"/>
        </w:rPr>
        <w:t>【指标现状】：为提升全民参与环保意识，金龙</w:t>
      </w:r>
      <w:r>
        <w:rPr>
          <w:rFonts w:hint="eastAsia"/>
          <w:szCs w:val="32"/>
          <w:lang w:eastAsia="zh-CN"/>
        </w:rPr>
        <w:t>镇</w:t>
      </w:r>
      <w:r>
        <w:rPr>
          <w:rFonts w:hint="eastAsia"/>
          <w:szCs w:val="32"/>
        </w:rPr>
        <w:t>政府每年年初制定环保宣传工作计划，利用世界环境日等主题宣传活动，召开各种会议、张贴标语、村居宣传栏等多种形式宣传生态环保法律法规。多次组织</w:t>
      </w:r>
      <w:r>
        <w:rPr>
          <w:rFonts w:hint="eastAsia"/>
          <w:color w:val="auto"/>
          <w:szCs w:val="32"/>
        </w:rPr>
        <w:t>召</w:t>
      </w:r>
      <w:r>
        <w:rPr>
          <w:rFonts w:hint="eastAsia"/>
          <w:szCs w:val="32"/>
        </w:rPr>
        <w:t>开九龙河水环境治理、百日清洁行动等专项行动，组织和动员干部、志愿者、广大人民群众等积极参与生态文明建设工作中。为丰富环境教育内涵，深入开展绿色学校创建活动，制定学校生态文明建设工作实施计划方案，加强中小学生生态文明宣传教育。金龙镇已达到考核要求，评估得3分。</w:t>
      </w:r>
    </w:p>
    <w:p>
      <w:pPr>
        <w:ind w:firstLine="634" w:firstLineChars="200"/>
        <w:rPr>
          <w:szCs w:val="32"/>
        </w:rPr>
      </w:pPr>
      <w:r>
        <w:rPr>
          <w:rFonts w:hint="eastAsia"/>
          <w:szCs w:val="32"/>
        </w:rPr>
        <w:t>（2</w:t>
      </w:r>
      <w:r>
        <w:rPr>
          <w:szCs w:val="32"/>
        </w:rPr>
        <w:t>4</w:t>
      </w:r>
      <w:r>
        <w:rPr>
          <w:rFonts w:hint="eastAsia"/>
          <w:szCs w:val="32"/>
        </w:rPr>
        <w:t>）中小学开展生态文明教育</w:t>
      </w:r>
    </w:p>
    <w:p>
      <w:pPr>
        <w:ind w:firstLine="634" w:firstLineChars="200"/>
        <w:rPr>
          <w:szCs w:val="32"/>
        </w:rPr>
      </w:pPr>
      <w:r>
        <w:rPr>
          <w:rFonts w:hint="eastAsia"/>
          <w:szCs w:val="32"/>
        </w:rPr>
        <w:t>【考核要求】：开展（3分）</w:t>
      </w:r>
    </w:p>
    <w:p>
      <w:pPr>
        <w:ind w:firstLine="634" w:firstLineChars="200"/>
        <w:rPr>
          <w:szCs w:val="32"/>
        </w:rPr>
      </w:pPr>
      <w:r>
        <w:rPr>
          <w:rFonts w:hint="eastAsia"/>
          <w:szCs w:val="32"/>
        </w:rPr>
        <w:t>【指标解释】：指在中小学开展生态文明课程教育、研学，结合“世界环境日”“世界地球日”“生物多样性日”“植树节”等重要节日开展绘画、征文、展览等宣传教育活动，普及生态文明知识，增强中小学师生生态文明意识，引导各中小学营造崇尚生态文明的良好氛围。</w:t>
      </w:r>
    </w:p>
    <w:p>
      <w:pPr>
        <w:ind w:firstLine="634" w:firstLineChars="200"/>
        <w:rPr>
          <w:szCs w:val="32"/>
        </w:rPr>
      </w:pPr>
      <w:r>
        <w:rPr>
          <w:rFonts w:hint="eastAsia"/>
          <w:szCs w:val="32"/>
        </w:rPr>
        <w:t>【指标现状】：为深学笃用</w:t>
      </w:r>
      <w:r>
        <w:rPr>
          <w:rFonts w:hint="eastAsia"/>
          <w:color w:val="auto"/>
          <w:szCs w:val="32"/>
        </w:rPr>
        <w:t>习近平生态文明思想</w:t>
      </w:r>
      <w:r>
        <w:rPr>
          <w:rFonts w:hint="eastAsia"/>
          <w:szCs w:val="32"/>
        </w:rPr>
        <w:t>，认真贯彻全国生态环境保护大会和重庆市深入推动长江经济带发展动员大会暨生态环境保护大会精神，实施生态优先绿色发展行动计划，打好污染防治攻坚战，广泛宣传环保法律法规，全面普及生态环保知识，树立社会主义核心价值观，金龙镇镇域内金龙小学、普莲小学、金鼎小学均制定了学校生态文明建设工作实施计划方案，系统开展生态文明教育，</w:t>
      </w:r>
      <w:r>
        <w:rPr>
          <w:szCs w:val="32"/>
        </w:rPr>
        <w:t>广泛开展生态文明知识教育，并组织开展校内选拔赛，大力宣传生态文</w:t>
      </w:r>
      <w:r>
        <w:rPr>
          <w:rFonts w:hint="eastAsia"/>
          <w:szCs w:val="32"/>
        </w:rPr>
        <w:t>明</w:t>
      </w:r>
      <w:r>
        <w:rPr>
          <w:szCs w:val="32"/>
        </w:rPr>
        <w:t>建设的重要性。结合区教委要求，积极开展垃圾分类宣传和实践活动，现在垃圾分类思想已扎根师生心里。</w:t>
      </w:r>
      <w:r>
        <w:rPr>
          <w:rFonts w:hint="eastAsia"/>
          <w:szCs w:val="32"/>
        </w:rPr>
        <w:t>金龙镇已达到考核要求，评估得3分。</w:t>
      </w:r>
    </w:p>
    <w:p>
      <w:pPr>
        <w:ind w:firstLine="634" w:firstLineChars="200"/>
        <w:rPr>
          <w:szCs w:val="32"/>
        </w:rPr>
      </w:pPr>
      <w:r>
        <w:rPr>
          <w:rFonts w:hint="eastAsia"/>
          <w:szCs w:val="32"/>
        </w:rPr>
        <w:t>（2</w:t>
      </w:r>
      <w:r>
        <w:rPr>
          <w:szCs w:val="32"/>
        </w:rPr>
        <w:t>5</w:t>
      </w:r>
      <w:r>
        <w:rPr>
          <w:rFonts w:hint="eastAsia"/>
          <w:szCs w:val="32"/>
        </w:rPr>
        <w:t>）制定实施有关节约资源和保护环境村规民约的</w:t>
      </w:r>
      <w:r>
        <w:rPr>
          <w:rFonts w:hint="eastAsia"/>
          <w:color w:val="auto"/>
          <w:szCs w:val="32"/>
        </w:rPr>
        <w:t>行政村</w:t>
      </w:r>
      <w:r>
        <w:rPr>
          <w:rFonts w:hint="eastAsia"/>
          <w:szCs w:val="32"/>
        </w:rPr>
        <w:t>比例</w:t>
      </w:r>
    </w:p>
    <w:p>
      <w:pPr>
        <w:ind w:firstLine="634" w:firstLineChars="200"/>
        <w:rPr>
          <w:szCs w:val="32"/>
        </w:rPr>
      </w:pPr>
      <w:r>
        <w:rPr>
          <w:rFonts w:hint="eastAsia"/>
          <w:szCs w:val="32"/>
        </w:rPr>
        <w:t>【考核要求】：1</w:t>
      </w:r>
      <w:r>
        <w:rPr>
          <w:szCs w:val="32"/>
        </w:rPr>
        <w:t>00%</w:t>
      </w:r>
      <w:r>
        <w:rPr>
          <w:rFonts w:hint="eastAsia"/>
          <w:szCs w:val="32"/>
        </w:rPr>
        <w:t>（3分）</w:t>
      </w:r>
    </w:p>
    <w:p>
      <w:pPr>
        <w:ind w:firstLine="634" w:firstLineChars="200"/>
        <w:rPr>
          <w:szCs w:val="32"/>
        </w:rPr>
      </w:pPr>
      <w:r>
        <w:rPr>
          <w:rFonts w:hint="eastAsia"/>
          <w:szCs w:val="32"/>
        </w:rPr>
        <w:t>【指标解释】：指辖区内制定实施有关节约资源和保护环境村规民约的</w:t>
      </w:r>
      <w:r>
        <w:rPr>
          <w:rFonts w:hint="eastAsia"/>
          <w:color w:val="auto"/>
          <w:szCs w:val="32"/>
        </w:rPr>
        <w:t>行政村</w:t>
      </w:r>
      <w:r>
        <w:rPr>
          <w:rFonts w:hint="eastAsia"/>
          <w:szCs w:val="32"/>
        </w:rPr>
        <w:t>数占乡镇总</w:t>
      </w:r>
      <w:r>
        <w:rPr>
          <w:rFonts w:hint="eastAsia"/>
          <w:color w:val="auto"/>
          <w:szCs w:val="32"/>
        </w:rPr>
        <w:t>行政村</w:t>
      </w:r>
      <w:r>
        <w:rPr>
          <w:rFonts w:hint="eastAsia"/>
          <w:szCs w:val="32"/>
        </w:rPr>
        <w:t>数的百分比。</w:t>
      </w:r>
    </w:p>
    <w:p>
      <w:pPr>
        <w:ind w:firstLine="634" w:firstLineChars="200"/>
        <w:rPr>
          <w:szCs w:val="32"/>
        </w:rPr>
      </w:pPr>
      <w:r>
        <w:rPr>
          <w:rFonts w:hint="eastAsia"/>
          <w:szCs w:val="32"/>
        </w:rPr>
        <w:t>【指标现状】：全镇1个社区、7个村已</w:t>
      </w:r>
      <w:r>
        <w:rPr>
          <w:rFonts w:hint="eastAsia"/>
          <w:szCs w:val="32"/>
          <w:lang w:eastAsia="zh-CN"/>
        </w:rPr>
        <w:t>将</w:t>
      </w:r>
      <w:r>
        <w:rPr>
          <w:rFonts w:hint="eastAsia"/>
          <w:szCs w:val="32"/>
        </w:rPr>
        <w:t>节约资源和保护环境纳入各村社村规民约，制定比例为100%，达到考核要求，评估得3分。</w:t>
      </w:r>
    </w:p>
    <w:p>
      <w:pPr>
        <w:ind w:firstLine="634" w:firstLineChars="200"/>
        <w:rPr>
          <w:szCs w:val="32"/>
        </w:rPr>
      </w:pPr>
    </w:p>
    <w:p>
      <w:pPr>
        <w:ind w:firstLine="634" w:firstLineChars="200"/>
        <w:rPr>
          <w:rFonts w:hint="eastAsia"/>
          <w:szCs w:val="32"/>
        </w:rPr>
      </w:pPr>
    </w:p>
    <w:p>
      <w:pPr>
        <w:ind w:firstLine="634" w:firstLineChars="200"/>
        <w:jc w:val="left"/>
        <w:outlineLvl w:val="0"/>
        <w:rPr>
          <w:rFonts w:hint="eastAsia" w:eastAsia="方正黑体_GBK"/>
          <w:szCs w:val="32"/>
        </w:rPr>
      </w:pPr>
      <w:bookmarkStart w:id="41" w:name="_Toc106638418"/>
      <w:r>
        <w:rPr>
          <w:rFonts w:hint="eastAsia" w:eastAsia="方正黑体_GBK"/>
          <w:szCs w:val="32"/>
        </w:rPr>
        <w:t>4重点任务</w:t>
      </w:r>
      <w:bookmarkEnd w:id="41"/>
    </w:p>
    <w:p>
      <w:pPr>
        <w:ind w:firstLine="634" w:firstLineChars="200"/>
        <w:jc w:val="left"/>
        <w:outlineLvl w:val="1"/>
        <w:rPr>
          <w:rFonts w:hint="eastAsia" w:eastAsia="方正楷体_GBK"/>
          <w:szCs w:val="32"/>
        </w:rPr>
      </w:pPr>
      <w:bookmarkStart w:id="42" w:name="_Toc106638419"/>
      <w:r>
        <w:rPr>
          <w:rFonts w:hint="eastAsia" w:eastAsia="方正楷体_GBK"/>
          <w:szCs w:val="32"/>
        </w:rPr>
        <w:t>4</w:t>
      </w:r>
      <w:r>
        <w:rPr>
          <w:rFonts w:eastAsia="方正楷体_GBK"/>
          <w:szCs w:val="32"/>
        </w:rPr>
        <w:t>.1</w:t>
      </w:r>
      <w:r>
        <w:rPr>
          <w:rFonts w:hint="eastAsia" w:eastAsia="方正楷体_GBK"/>
          <w:szCs w:val="32"/>
        </w:rPr>
        <w:t>落实生态制度，纵深推进生态文明建设</w:t>
      </w:r>
      <w:bookmarkEnd w:id="42"/>
    </w:p>
    <w:p>
      <w:pPr>
        <w:ind w:firstLine="634" w:firstLineChars="200"/>
        <w:outlineLvl w:val="2"/>
        <w:rPr>
          <w:rFonts w:hint="eastAsia"/>
          <w:szCs w:val="32"/>
        </w:rPr>
      </w:pPr>
      <w:bookmarkStart w:id="43" w:name="_Toc97212075"/>
      <w:bookmarkStart w:id="44" w:name="_Toc106638420"/>
      <w:r>
        <w:rPr>
          <w:szCs w:val="32"/>
        </w:rPr>
        <w:t>4.1.1</w:t>
      </w:r>
      <w:r>
        <w:rPr>
          <w:rFonts w:hint="eastAsia"/>
          <w:szCs w:val="32"/>
        </w:rPr>
        <w:t>深入推进“河长制”</w:t>
      </w:r>
      <w:bookmarkEnd w:id="43"/>
      <w:r>
        <w:rPr>
          <w:rFonts w:hint="eastAsia"/>
          <w:szCs w:val="32"/>
        </w:rPr>
        <w:t>，保持河流水清岸绿</w:t>
      </w:r>
      <w:bookmarkEnd w:id="44"/>
    </w:p>
    <w:p>
      <w:pPr>
        <w:ind w:firstLine="634" w:firstLineChars="200"/>
        <w:rPr>
          <w:rFonts w:hint="eastAsia"/>
          <w:szCs w:val="32"/>
        </w:rPr>
      </w:pPr>
      <w:r>
        <w:rPr>
          <w:rFonts w:hint="eastAsia"/>
          <w:szCs w:val="32"/>
        </w:rPr>
        <w:t>继续落实“河长制”工作要求，每年制定金龙镇河长制工作年度计划，坚持守水有责、守水尽责，统筹负责、协同尽责，高标准、严要求地把河长制这项制度执行好，把河长的作用发挥好</w:t>
      </w:r>
      <w:r>
        <w:rPr>
          <w:szCs w:val="32"/>
        </w:rPr>
        <w:t>，为</w:t>
      </w:r>
      <w:r>
        <w:rPr>
          <w:rFonts w:hint="eastAsia"/>
          <w:szCs w:val="32"/>
        </w:rPr>
        <w:t>九龙河水质持续改善工作</w:t>
      </w:r>
      <w:r>
        <w:rPr>
          <w:szCs w:val="32"/>
        </w:rPr>
        <w:t>尽心履职。</w:t>
      </w:r>
      <w:r>
        <w:rPr>
          <w:rFonts w:hint="eastAsia"/>
          <w:szCs w:val="32"/>
        </w:rPr>
        <w:t>纵深推进河长制，通过建立台账、动态清零、定期调度等扎实有效的举措，推进河道“清四乱”常态化、规范化，为维护水生态环境安全减轻压力。配合区级部门开展“智慧河长”建设，推动实现河流断面水质、污染源、河长巡河轨迹等在线监测掌控。</w:t>
      </w:r>
    </w:p>
    <w:p>
      <w:pPr>
        <w:ind w:firstLine="634" w:firstLineChars="200"/>
        <w:outlineLvl w:val="2"/>
        <w:rPr>
          <w:rFonts w:hint="eastAsia"/>
          <w:szCs w:val="32"/>
        </w:rPr>
      </w:pPr>
      <w:bookmarkStart w:id="45" w:name="_Toc106638421"/>
      <w:r>
        <w:rPr>
          <w:szCs w:val="32"/>
        </w:rPr>
        <w:t>4.1.2</w:t>
      </w:r>
      <w:r>
        <w:rPr>
          <w:rFonts w:hint="eastAsia"/>
          <w:szCs w:val="32"/>
        </w:rPr>
        <w:t>全面落实“林长制”，助推实现“林长治”</w:t>
      </w:r>
      <w:bookmarkEnd w:id="45"/>
    </w:p>
    <w:p>
      <w:pPr>
        <w:ind w:firstLine="634" w:firstLineChars="200"/>
        <w:rPr>
          <w:szCs w:val="32"/>
        </w:rPr>
      </w:pPr>
      <w:r>
        <w:rPr>
          <w:rFonts w:hint="eastAsia"/>
          <w:szCs w:val="32"/>
        </w:rPr>
        <w:t>全面推进林长制工作向纵深发展，实行最严格的山林资源保护管理，严守底线保证林地面积不降低，持续做好镇域4.7万余亩生态林地管护，严厉打击各类破坏山林资源的违法犯罪行为；多方面努力增加森林面积，提高森林质量；完善镇、村（社区）“两级林长和网格护林员”责任体系和治理体系；发展森林旅游等绿色产业；盘活森林资源，探索开展林业碳汇。</w:t>
      </w:r>
    </w:p>
    <w:p>
      <w:pPr>
        <w:ind w:firstLine="634" w:firstLineChars="200"/>
        <w:outlineLvl w:val="2"/>
        <w:rPr>
          <w:rFonts w:hint="eastAsia"/>
          <w:szCs w:val="32"/>
        </w:rPr>
      </w:pPr>
      <w:bookmarkStart w:id="46" w:name="_Toc106638422"/>
      <w:r>
        <w:rPr>
          <w:szCs w:val="32"/>
        </w:rPr>
        <w:t>4.1.3</w:t>
      </w:r>
      <w:r>
        <w:rPr>
          <w:rFonts w:hint="eastAsia"/>
          <w:szCs w:val="32"/>
        </w:rPr>
        <w:t>落实其他生态文明制度，健全生态文明体系</w:t>
      </w:r>
      <w:bookmarkEnd w:id="46"/>
    </w:p>
    <w:p>
      <w:pPr>
        <w:ind w:firstLine="634" w:firstLineChars="200"/>
        <w:rPr>
          <w:szCs w:val="32"/>
        </w:rPr>
      </w:pPr>
      <w:r>
        <w:rPr>
          <w:rFonts w:hint="eastAsia"/>
          <w:szCs w:val="32"/>
        </w:rPr>
        <w:t>落实责任追究制度，实行“党政同责、一岗双责、终身追责”，强化落实环境保护责任，进一步健全政府</w:t>
      </w:r>
      <w:r>
        <w:rPr>
          <w:rFonts w:hint="eastAsia"/>
          <w:color w:val="auto"/>
          <w:szCs w:val="32"/>
        </w:rPr>
        <w:t>党政一把手</w:t>
      </w:r>
      <w:r>
        <w:rPr>
          <w:rFonts w:hint="eastAsia"/>
          <w:szCs w:val="32"/>
        </w:rPr>
        <w:t>环保实绩考核制度。将环保责任等纳入全镇工作年度目标考核，科学合理增加生态文明建设领域考核指标，优化生态环保指标考核权重。建立健全环保设施项目运行管理机制，完善农村生活污水处理设施管理制度和生活垃圾收运管理制度，健全治理设施监管制度，严格落实管护人员考核制度。对生态文明实绩考评较差的不予纳入选优评优范围，对造成严重后果追究责任。树立法治意识，纠正环境监管中的“不作为”“乱作为”。认真做好生态环保集中督察交办案件和反馈意见整改落实工作，立行立改，专项整改突出生态环境问题。</w:t>
      </w:r>
    </w:p>
    <w:p>
      <w:pPr>
        <w:ind w:firstLine="634" w:firstLineChars="200"/>
        <w:rPr>
          <w:rFonts w:hint="eastAsia"/>
          <w:szCs w:val="32"/>
        </w:rPr>
      </w:pPr>
    </w:p>
    <w:p>
      <w:pPr>
        <w:ind w:firstLine="634" w:firstLineChars="200"/>
        <w:jc w:val="left"/>
        <w:outlineLvl w:val="1"/>
        <w:rPr>
          <w:rFonts w:hint="eastAsia" w:eastAsia="方正楷体_GBK"/>
          <w:szCs w:val="32"/>
        </w:rPr>
      </w:pPr>
      <w:bookmarkStart w:id="47" w:name="_Toc106638423"/>
      <w:r>
        <w:rPr>
          <w:rFonts w:hint="eastAsia" w:eastAsia="方正楷体_GBK"/>
          <w:szCs w:val="32"/>
        </w:rPr>
        <w:t>4</w:t>
      </w:r>
      <w:r>
        <w:rPr>
          <w:rFonts w:eastAsia="方正楷体_GBK"/>
          <w:szCs w:val="32"/>
        </w:rPr>
        <w:t>.2</w:t>
      </w:r>
      <w:r>
        <w:rPr>
          <w:rFonts w:hint="eastAsia" w:eastAsia="方正楷体_GBK"/>
          <w:szCs w:val="32"/>
        </w:rPr>
        <w:t>扩大农业生态优势，丰富绿色“菜篮子”</w:t>
      </w:r>
      <w:bookmarkEnd w:id="47"/>
    </w:p>
    <w:p>
      <w:pPr>
        <w:ind w:firstLine="634" w:firstLineChars="200"/>
        <w:outlineLvl w:val="2"/>
        <w:rPr>
          <w:szCs w:val="32"/>
        </w:rPr>
      </w:pPr>
      <w:bookmarkStart w:id="48" w:name="_Toc106638424"/>
      <w:r>
        <w:rPr>
          <w:rFonts w:hint="eastAsia"/>
          <w:szCs w:val="32"/>
        </w:rPr>
        <w:t>4.2.1</w:t>
      </w:r>
      <w:r>
        <w:rPr>
          <w:szCs w:val="32"/>
        </w:rPr>
        <w:t xml:space="preserve"> </w:t>
      </w:r>
      <w:r>
        <w:rPr>
          <w:rFonts w:hint="eastAsia"/>
          <w:szCs w:val="32"/>
        </w:rPr>
        <w:t>大力建设生态农业区，推动农旅融合发展</w:t>
      </w:r>
      <w:bookmarkEnd w:id="48"/>
    </w:p>
    <w:p>
      <w:pPr>
        <w:ind w:firstLine="634" w:firstLineChars="200"/>
        <w:rPr>
          <w:szCs w:val="32"/>
        </w:rPr>
      </w:pPr>
      <w:r>
        <w:rPr>
          <w:rFonts w:hint="eastAsia"/>
          <w:b/>
          <w:szCs w:val="32"/>
        </w:rPr>
        <w:t>优化农业产业结构。</w:t>
      </w:r>
      <w:r>
        <w:rPr>
          <w:rFonts w:hint="eastAsia"/>
          <w:szCs w:val="32"/>
        </w:rPr>
        <w:t>着力构建现代化农业产业体系，以“蔬菜、水果、茶叶”为重点打造特色高效农业，逐步建成万亩茶（叶）（水）果基地、万亩蔬菜基地、万亩粮油基地。全面落实“藏粮于地、藏粮于技”战略，牢牢守住耕地保护红线，稳步推进高标准农田建设，着力增加优质特色粮油种植面积。积极承担蔬菜生产保供责任，提高蔬菜基础产能，每年新增蔬菜基地1</w:t>
      </w:r>
      <w:r>
        <w:rPr>
          <w:szCs w:val="32"/>
        </w:rPr>
        <w:t>000</w:t>
      </w:r>
      <w:r>
        <w:rPr>
          <w:rFonts w:hint="eastAsia"/>
          <w:szCs w:val="32"/>
        </w:rPr>
        <w:t>亩以上，力争蔬菜基地2025年达到1万亩以上。发展壮大茶叶、水果特色产业，以云雾山为重点推进茶叶基地建设，结合茶叶观光，开展茶叶博览、茶园科普、采摘体验、休闲体验等活动，促进茶园生态环境保护；逐步推进晚熟柑橘种植结构调整，实施观光采摘体验园建设，每年新增水果基地</w:t>
      </w:r>
      <w:r>
        <w:rPr>
          <w:szCs w:val="32"/>
        </w:rPr>
        <w:t>1</w:t>
      </w:r>
      <w:r>
        <w:rPr>
          <w:rFonts w:hint="eastAsia"/>
          <w:szCs w:val="32"/>
        </w:rPr>
        <w:t>000亩，逐步建成特色水果万亩基地。</w:t>
      </w:r>
    </w:p>
    <w:p>
      <w:pPr>
        <w:ind w:firstLine="634" w:firstLineChars="200"/>
        <w:rPr>
          <w:szCs w:val="32"/>
        </w:rPr>
      </w:pPr>
      <w:r>
        <w:rPr>
          <w:rFonts w:hint="eastAsia"/>
          <w:b/>
          <w:szCs w:val="32"/>
        </w:rPr>
        <w:t>大力建设九龙河市级农业园区。</w:t>
      </w:r>
      <w:r>
        <w:rPr>
          <w:rFonts w:hint="eastAsia"/>
          <w:szCs w:val="32"/>
        </w:rPr>
        <w:t>以园区产业提质增效、产业链条要素集聚、拓展延伸农业功能为目标，进一步</w:t>
      </w:r>
      <w:r>
        <w:rPr>
          <w:rFonts w:hint="eastAsia"/>
          <w:szCs w:val="32"/>
          <w:u w:val="single"/>
          <w:lang w:eastAsia="zh-CN"/>
        </w:rPr>
        <w:t>加大</w:t>
      </w:r>
      <w:r>
        <w:rPr>
          <w:rFonts w:hint="eastAsia"/>
          <w:szCs w:val="32"/>
        </w:rPr>
        <w:t>园区基础设施建设力度，以洞子口村扶贫产业园、金鼎村扶贫产业园、解放村蔬菜基地、嘉阜村苗木种植基地等重点产业打造为突破口，积极向上争取项目，配套完善“四好农村路”、农田水利工程、高标准农田、农业机械化等基础设施，完成宜机化整治1万亩。积极发展园区初级及精深加工，支持一批以农产品加工为重点的龙头企业，积极完善蔬菜加工及仓储物流基地建设。实施“互联网+”现代农业引领工程，逐步实现生产、加工、销售信息化、智能化，建成1个智慧农业园。</w:t>
      </w:r>
    </w:p>
    <w:p>
      <w:pPr>
        <w:ind w:firstLine="634" w:firstLineChars="200"/>
        <w:rPr>
          <w:rFonts w:hint="default" w:ascii="Times New Roman" w:hAnsi="Times New Roman" w:eastAsia="方正仿宋_GBK" w:cs="Times New Roman"/>
          <w:szCs w:val="32"/>
        </w:rPr>
      </w:pPr>
      <w:r>
        <w:rPr>
          <w:rFonts w:hint="eastAsia"/>
          <w:b/>
          <w:szCs w:val="32"/>
        </w:rPr>
        <w:t>打造农旅融合发展休闲地。</w:t>
      </w:r>
      <w:r>
        <w:rPr>
          <w:rFonts w:hint="eastAsia"/>
          <w:szCs w:val="32"/>
        </w:rPr>
        <w:t>立足金龙镇镇域历史遗迹文化资源、特色农业景观资源、滨河自然生态资源、民俗文化资源等基础，借助茶山竹海旅游带动优势，</w:t>
      </w:r>
      <w:r>
        <w:rPr>
          <w:rFonts w:hint="default" w:ascii="Times New Roman" w:hAnsi="Times New Roman" w:eastAsia="方正仿宋_GBK" w:cs="Times New Roman"/>
          <w:szCs w:val="32"/>
        </w:rPr>
        <w:t>重点突出“生态、休闲”，坚持将低碳理念融入到旅游规划建设的全过程，把生态文明体现到旅游规划建设的全过程。优化“一廊一带一河”的旅游产业布局，打造集现代农业、休闲旅游、田园社区</w:t>
      </w:r>
      <w:r>
        <w:rPr>
          <w:rFonts w:hint="default" w:ascii="Times New Roman" w:hAnsi="Times New Roman" w:eastAsia="方正仿宋_GBK" w:cs="Times New Roman"/>
          <w:color w:val="auto"/>
          <w:szCs w:val="32"/>
          <w:lang w:eastAsia="zh-CN"/>
        </w:rPr>
        <w:t>于</w:t>
      </w:r>
      <w:r>
        <w:rPr>
          <w:rFonts w:hint="default" w:ascii="Times New Roman" w:hAnsi="Times New Roman" w:eastAsia="方正仿宋_GBK" w:cs="Times New Roman"/>
          <w:szCs w:val="32"/>
        </w:rPr>
        <w:t>一体的“九龙河谷”农旅融合发展休闲地，一是完善九龙河现代农业园区基础设施建设，建设生态、休闲、观光为一体的九龙河观光长廊；二是加速推动银月湖度假山庄、五花马现代花卉园、徐杨茶园等主题休闲观光园建设，丰富银月湖-五花马-燃灯山农旅线路；三是逐步建成10个乡村旅游点，建设“一村一景、一村一韵”的美丽乡村精品。</w:t>
      </w:r>
    </w:p>
    <w:p>
      <w:pPr>
        <w:ind w:firstLine="634" w:firstLineChars="200"/>
        <w:outlineLvl w:val="2"/>
        <w:rPr>
          <w:szCs w:val="32"/>
        </w:rPr>
      </w:pPr>
      <w:bookmarkStart w:id="49" w:name="_Toc106638425"/>
      <w:r>
        <w:rPr>
          <w:rFonts w:hint="eastAsia"/>
          <w:szCs w:val="32"/>
        </w:rPr>
        <w:t>4</w:t>
      </w:r>
      <w:r>
        <w:rPr>
          <w:szCs w:val="32"/>
        </w:rPr>
        <w:t>.2.2</w:t>
      </w:r>
      <w:r>
        <w:rPr>
          <w:rFonts w:hint="eastAsia"/>
          <w:szCs w:val="32"/>
        </w:rPr>
        <w:t>全面提升农产品品质，大力培育农产品品牌</w:t>
      </w:r>
      <w:bookmarkEnd w:id="49"/>
    </w:p>
    <w:p>
      <w:pPr>
        <w:ind w:firstLine="634" w:firstLineChars="200"/>
        <w:rPr>
          <w:szCs w:val="32"/>
        </w:rPr>
      </w:pPr>
      <w:r>
        <w:rPr>
          <w:rFonts w:hint="eastAsia"/>
          <w:b/>
          <w:szCs w:val="32"/>
        </w:rPr>
        <w:t>全面提升农产品品质。</w:t>
      </w:r>
      <w:r>
        <w:rPr>
          <w:rFonts w:hint="eastAsia"/>
          <w:szCs w:val="32"/>
        </w:rPr>
        <w:t>以区域蔬菜、水果、茶叶为重点开展种植标准园建设，逐步</w:t>
      </w:r>
      <w:r>
        <w:t>建立健全集产地环境、安全控制、种苗繁育、生产规程、产品加工、等级分类、产品包装、仓储物流等产前、产中、产后于一体的农产品标准化生产体系。</w:t>
      </w:r>
      <w:r>
        <w:rPr>
          <w:rFonts w:hint="eastAsia"/>
        </w:rPr>
        <w:t>大力推行绿色生产方式，以规模种植基地为试点，探索建立农产品质量追溯点，逐步将绿色有机品牌农产品全部纳入追溯管理，</w:t>
      </w:r>
      <w:r>
        <w:t>确保不发生重大农产品质量安全事件</w:t>
      </w:r>
      <w:r>
        <w:rPr>
          <w:rFonts w:hint="eastAsia"/>
        </w:rPr>
        <w:t>。</w:t>
      </w:r>
    </w:p>
    <w:p>
      <w:pPr>
        <w:ind w:firstLine="634" w:firstLineChars="200"/>
        <w:rPr>
          <w:rFonts w:hint="eastAsia"/>
          <w:szCs w:val="32"/>
        </w:rPr>
      </w:pPr>
      <w:r>
        <w:rPr>
          <w:rFonts w:hint="eastAsia"/>
          <w:b/>
          <w:szCs w:val="32"/>
        </w:rPr>
        <w:t>培育金龙镇特色农产品品牌。</w:t>
      </w:r>
      <w:r>
        <w:rPr>
          <w:rFonts w:hint="eastAsia"/>
          <w:szCs w:val="32"/>
        </w:rPr>
        <w:t>以绿色蔬菜、“云雾山”茶叶等初具知名度的农产品为重点培育对象，做大做强金龙镇特色农产品品牌。积极融入永川农产品宣传渠道，开展农产品宣传活动，充分利用农产品交易会、展销会、线下运营店、电子商务等平台，提升品牌知晓度和知名度。巩固现有绿色食品建设成果，持续推进“两品一标”认证，对通过两品一标认证并获得证书且未发生农产品质量安全违法违规行为的企业实施奖补。到2</w:t>
      </w:r>
      <w:r>
        <w:rPr>
          <w:szCs w:val="32"/>
        </w:rPr>
        <w:t>023</w:t>
      </w:r>
      <w:r>
        <w:rPr>
          <w:rFonts w:hint="eastAsia"/>
          <w:szCs w:val="32"/>
        </w:rPr>
        <w:t>年，全镇“两品一标”农产品总产量占比提升至</w:t>
      </w:r>
      <w:r>
        <w:rPr>
          <w:szCs w:val="32"/>
        </w:rPr>
        <w:t>10%</w:t>
      </w:r>
      <w:r>
        <w:rPr>
          <w:rFonts w:hint="eastAsia"/>
          <w:szCs w:val="32"/>
        </w:rPr>
        <w:t>以上。</w:t>
      </w:r>
    </w:p>
    <w:p>
      <w:pPr>
        <w:ind w:firstLine="634" w:firstLineChars="200"/>
        <w:outlineLvl w:val="2"/>
        <w:rPr>
          <w:szCs w:val="32"/>
        </w:rPr>
      </w:pPr>
      <w:bookmarkStart w:id="50" w:name="_Toc106638426"/>
      <w:r>
        <w:rPr>
          <w:rFonts w:hint="eastAsia"/>
          <w:szCs w:val="32"/>
        </w:rPr>
        <w:t>4.2.</w:t>
      </w:r>
      <w:r>
        <w:rPr>
          <w:szCs w:val="32"/>
        </w:rPr>
        <w:t>3</w:t>
      </w:r>
      <w:r>
        <w:rPr>
          <w:rFonts w:hint="eastAsia"/>
          <w:szCs w:val="32"/>
        </w:rPr>
        <w:t>推进农业绿色生产，提升农产品绿色水平</w:t>
      </w:r>
      <w:bookmarkEnd w:id="50"/>
    </w:p>
    <w:p>
      <w:pPr>
        <w:ind w:firstLine="634" w:firstLineChars="200"/>
        <w:rPr>
          <w:szCs w:val="32"/>
        </w:rPr>
      </w:pPr>
      <w:r>
        <w:rPr>
          <w:rFonts w:hint="eastAsia"/>
          <w:b/>
          <w:szCs w:val="32"/>
        </w:rPr>
        <w:t>源头降低农产品化肥、农药残留。</w:t>
      </w:r>
      <w:r>
        <w:rPr>
          <w:rFonts w:hint="eastAsia"/>
          <w:szCs w:val="32"/>
        </w:rPr>
        <w:t>全面落实“一控、二减、三基本”要求，以永川区耕地地力评价和测土配方为依托，以减少农药化肥施用量为目标，加快推进测土施肥技术，病虫害统防统治和绿色防控技术，加大配方肥和商品有机肥推广力度，重点做好茶叶、水果等有机肥替代化肥行动，采取农作物生长关键时刻集中施药措施，实现农药化肥用量持续平稳下降，减少农业面源污染，促进农业绿色发展。创建期间，实现农用化肥、农药施用强度逐年降低</w:t>
      </w:r>
      <w:r>
        <w:rPr>
          <w:szCs w:val="32"/>
        </w:rPr>
        <w:t>。</w:t>
      </w:r>
    </w:p>
    <w:p>
      <w:pPr>
        <w:ind w:firstLine="634" w:firstLineChars="200"/>
        <w:rPr>
          <w:szCs w:val="32"/>
        </w:rPr>
      </w:pPr>
      <w:r>
        <w:rPr>
          <w:rFonts w:hint="eastAsia"/>
          <w:b/>
          <w:szCs w:val="32"/>
        </w:rPr>
        <w:t>提升农作物秸秆还田利用水平。</w:t>
      </w:r>
      <w:r>
        <w:rPr>
          <w:rFonts w:hint="eastAsia"/>
          <w:szCs w:val="32"/>
        </w:rPr>
        <w:t>结合金龙镇各村农业生产情况，逐步减少秸秆直接作为燃料，突出农作物秸秆肥料化、饲料化、基料化、能源化、原料化等“五化”利用，推广经济适用的秸秆资源化综合利用模式。结合土壤有机质提升、化肥减量化行动等，加强秸秆就地还田利用。到2023年，全镇农作物秸秆综合利用率达到90%以上。</w:t>
      </w:r>
    </w:p>
    <w:p>
      <w:pPr>
        <w:ind w:firstLine="634" w:firstLineChars="200"/>
        <w:rPr>
          <w:rFonts w:hint="eastAsia"/>
          <w:szCs w:val="32"/>
        </w:rPr>
      </w:pPr>
      <w:r>
        <w:rPr>
          <w:rFonts w:hint="eastAsia"/>
          <w:b/>
          <w:szCs w:val="32"/>
        </w:rPr>
        <w:t>减少田间农膜残留。</w:t>
      </w:r>
      <w:r>
        <w:rPr>
          <w:rFonts w:hint="eastAsia"/>
          <w:szCs w:val="32"/>
        </w:rPr>
        <w:t>完善“销售、回收、利用、推广”为一体的废弃农膜回收利用网络体系，合理增设农膜回收点，推广应用可降解地膜和加厚地膜，以蔬菜基地、粮油连片种植区域为重点开展可降解农膜试验和回收利用示范。落实区级相关政策措施，鼓励扶持残膜收购企业，创新利益联结机制，采取价格优惠、以旧换新等灵活多样的方式，引导和动员农民清理残膜，积极交售残膜。创建期间，全镇农膜回收利用率稳定保持100%。</w:t>
      </w:r>
    </w:p>
    <w:p>
      <w:pPr>
        <w:ind w:firstLine="634" w:firstLineChars="200"/>
        <w:rPr>
          <w:rFonts w:hint="eastAsia"/>
          <w:szCs w:val="32"/>
        </w:rPr>
      </w:pPr>
      <w:r>
        <w:rPr>
          <w:rFonts w:hint="eastAsia"/>
          <w:b/>
          <w:szCs w:val="32"/>
        </w:rPr>
        <w:t>推进畜禽粪污资源化利用。</w:t>
      </w:r>
      <w:r>
        <w:rPr>
          <w:rFonts w:hint="eastAsia"/>
          <w:szCs w:val="32"/>
        </w:rPr>
        <w:t>巩固畜禽养殖禁养区取缔成果，加强对区域现有畜禽养殖场的监管力度，继续抓好九龙河“两违”畜禽整治工作，推动其他区域畜禽养殖场（户）的污染治理设施建设工作。推进畜禽粪污资源化利用，以正大种猪场及配套场等规模养殖场为重点，以农用有机肥和农村能源为主要利用方向，构建种养循环的可持续发展模式，引导规模养殖场优化布局，确保畜禽养殖资源化利用设施稳定有效运行，大力提高畜禽废弃物资源化利用水平。鼓励支持畜禽养殖场申报畜禽粪污资源化利用项目，积极向上争取资金，引进有机肥生产企业1</w:t>
      </w:r>
      <w:r>
        <w:rPr>
          <w:rFonts w:hint="eastAsia"/>
          <w:color w:val="auto"/>
          <w:szCs w:val="32"/>
          <w:lang w:eastAsia="zh-CN"/>
        </w:rPr>
        <w:t>家</w:t>
      </w:r>
      <w:r>
        <w:rPr>
          <w:rFonts w:hint="eastAsia"/>
          <w:szCs w:val="32"/>
        </w:rPr>
        <w:t>。配合区级完善病死畜禽无害化收储体系。到2023年，全镇畜禽粪污综合利用率稳定保持在85%以上。</w:t>
      </w:r>
    </w:p>
    <w:p>
      <w:pPr>
        <w:ind w:firstLine="634" w:firstLineChars="200"/>
        <w:rPr>
          <w:szCs w:val="32"/>
        </w:rPr>
      </w:pPr>
      <w:r>
        <w:rPr>
          <w:rFonts w:hint="eastAsia"/>
          <w:b/>
          <w:szCs w:val="32"/>
        </w:rPr>
        <w:t>推进水产养殖业绿色发展。</w:t>
      </w:r>
      <w:r>
        <w:rPr>
          <w:rFonts w:hint="eastAsia"/>
          <w:szCs w:val="32"/>
        </w:rPr>
        <w:t>按照健康舒适、低碳高效、质量安全、生态环保的绿色养殖理念，以“互联网+现代渔业”推动全镇水产养殖转型升级、提质增效。强化水产养殖污染防治，因地制宜建设池塘尾水处理系统或</w:t>
      </w:r>
      <w:r>
        <w:rPr>
          <w:rFonts w:hint="eastAsia"/>
          <w:szCs w:val="32"/>
          <w:lang w:eastAsia="zh-CN"/>
        </w:rPr>
        <w:t>低</w:t>
      </w:r>
      <w:r>
        <w:rPr>
          <w:rFonts w:hint="eastAsia"/>
          <w:szCs w:val="32"/>
        </w:rPr>
        <w:t>排污、鱼菜共生系统等生态健康养殖模式，实现尾水循环再利用或达标排放。</w:t>
      </w:r>
    </w:p>
    <w:p>
      <w:pPr>
        <w:ind w:firstLine="634" w:firstLineChars="200"/>
        <w:rPr>
          <w:rFonts w:hint="eastAsia"/>
          <w:szCs w:val="32"/>
        </w:rPr>
      </w:pPr>
    </w:p>
    <w:p>
      <w:pPr>
        <w:ind w:firstLine="634" w:firstLineChars="200"/>
        <w:jc w:val="left"/>
        <w:outlineLvl w:val="1"/>
        <w:rPr>
          <w:rFonts w:eastAsia="方正楷体_GBK"/>
          <w:szCs w:val="32"/>
        </w:rPr>
      </w:pPr>
      <w:bookmarkStart w:id="51" w:name="_Toc106638427"/>
      <w:r>
        <w:rPr>
          <w:rFonts w:hint="eastAsia" w:eastAsia="方正楷体_GBK"/>
          <w:szCs w:val="32"/>
        </w:rPr>
        <w:t>4</w:t>
      </w:r>
      <w:r>
        <w:rPr>
          <w:rFonts w:eastAsia="方正楷体_GBK"/>
          <w:szCs w:val="32"/>
        </w:rPr>
        <w:t>.3</w:t>
      </w:r>
      <w:r>
        <w:rPr>
          <w:rFonts w:hint="eastAsia" w:eastAsia="方正楷体_GBK"/>
          <w:szCs w:val="32"/>
        </w:rPr>
        <w:t>深入打好污染防治攻坚战，持续改善生态环境质量</w:t>
      </w:r>
      <w:bookmarkEnd w:id="51"/>
    </w:p>
    <w:p>
      <w:pPr>
        <w:ind w:firstLine="634" w:firstLineChars="200"/>
        <w:outlineLvl w:val="2"/>
        <w:rPr>
          <w:szCs w:val="32"/>
        </w:rPr>
      </w:pPr>
      <w:bookmarkStart w:id="52" w:name="_Toc106638428"/>
      <w:r>
        <w:rPr>
          <w:rFonts w:hint="eastAsia"/>
          <w:szCs w:val="32"/>
        </w:rPr>
        <w:t>4</w:t>
      </w:r>
      <w:r>
        <w:rPr>
          <w:szCs w:val="32"/>
        </w:rPr>
        <w:t>.3.1</w:t>
      </w:r>
      <w:r>
        <w:rPr>
          <w:rFonts w:hint="eastAsia"/>
          <w:szCs w:val="32"/>
        </w:rPr>
        <w:t>巩固九龙河治理成果，保护修复水生态环境</w:t>
      </w:r>
      <w:bookmarkEnd w:id="52"/>
    </w:p>
    <w:p>
      <w:pPr>
        <w:ind w:firstLine="634" w:firstLineChars="200"/>
        <w:rPr>
          <w:szCs w:val="32"/>
        </w:rPr>
      </w:pPr>
      <w:r>
        <w:rPr>
          <w:rFonts w:hint="eastAsia"/>
          <w:b/>
          <w:szCs w:val="32"/>
        </w:rPr>
        <w:t>持续实施流域综合整治。</w:t>
      </w:r>
      <w:r>
        <w:rPr>
          <w:rFonts w:hint="eastAsia"/>
          <w:szCs w:val="32"/>
        </w:rPr>
        <w:t>深入落实“河长制”，强化“村社河长制”的落实和环境监管，适时启动主要河流“一河一策”工作方案更新，积极配合完成上级部门下达的年度河流、河段整治工程。以九龙河、流经3场镇的其他支流为重点，持续开展违法入河排污口排查和“清四乱”工作，以工业企业、场镇污水管网、餐饮企业、</w:t>
      </w:r>
      <w:r>
        <w:rPr>
          <w:rFonts w:hint="eastAsia"/>
        </w:rPr>
        <w:t>洗车场等</w:t>
      </w:r>
      <w:r>
        <w:rPr>
          <w:rFonts w:hint="eastAsia"/>
          <w:szCs w:val="32"/>
        </w:rPr>
        <w:t>为重点，深入查找污水偷排直排乱排问题源头，及时发现及时整治。继续深化九龙河“两违”畜禽及水产养殖专项整治，逐步推动镇域鱼塘清洁化改造。</w:t>
      </w:r>
      <w:r>
        <w:rPr>
          <w:rFonts w:hint="eastAsia"/>
        </w:rPr>
        <w:t>继续落实“</w:t>
      </w:r>
      <w:r>
        <w:rPr>
          <w:rFonts w:hint="eastAsia"/>
          <w:color w:val="auto"/>
        </w:rPr>
        <w:t>千沟万塘</w:t>
      </w:r>
      <w:r>
        <w:rPr>
          <w:rFonts w:hint="eastAsia"/>
        </w:rPr>
        <w:t>”塘长</w:t>
      </w:r>
      <w:r>
        <w:rPr>
          <w:rFonts w:hint="eastAsia"/>
          <w:color w:val="auto"/>
        </w:rPr>
        <w:t>制制</w:t>
      </w:r>
      <w:r>
        <w:rPr>
          <w:rFonts w:hint="eastAsia"/>
        </w:rPr>
        <w:t>度，</w:t>
      </w:r>
      <w:r>
        <w:rPr>
          <w:rFonts w:hint="eastAsia"/>
          <w:szCs w:val="32"/>
        </w:rPr>
        <w:t>巩固黑臭水体消除成果。创建期间，保持</w:t>
      </w:r>
      <w:r>
        <w:rPr>
          <w:rFonts w:hint="eastAsia"/>
        </w:rPr>
        <w:t>九龙河各断面水质优良比例持续达到100%</w:t>
      </w:r>
      <w:r>
        <w:rPr>
          <w:rFonts w:hint="eastAsia"/>
          <w:szCs w:val="32"/>
        </w:rPr>
        <w:t>。</w:t>
      </w:r>
    </w:p>
    <w:p>
      <w:pPr>
        <w:ind w:firstLine="640"/>
      </w:pPr>
      <w:r>
        <w:rPr>
          <w:rFonts w:hint="eastAsia"/>
          <w:b/>
          <w:szCs w:val="32"/>
        </w:rPr>
        <w:t>强化水生态保护修复。</w:t>
      </w:r>
      <w:r>
        <w:rPr>
          <w:rFonts w:hint="eastAsia"/>
        </w:rPr>
        <w:t>加强九一水库、金鼎寺水库与九龙河的水生态流量协同管控，科学制定完善水资源优化调度体系，保障九龙河干流生态基流占多年平均流量比例在</w:t>
      </w:r>
      <w:r>
        <w:t>1</w:t>
      </w:r>
      <w:r>
        <w:rPr>
          <w:rFonts w:hint="eastAsia"/>
        </w:rPr>
        <w:t>0%以上。配合实施永川区河湖水系连通工程建设。实施金鼎寺水库等水源地、九龙河及重要支流源头水源涵养林建设，进一步提升生态涵养功能和水质。加强河道内源整治，及时清除河道漂浮物、收运两岸污染杂物，强化淤泥清理、排放、运输、处置的全过程管理，</w:t>
      </w:r>
      <w:r>
        <w:rPr>
          <w:rFonts w:hint="eastAsia"/>
          <w:szCs w:val="32"/>
        </w:rPr>
        <w:t>有序推动完成九龙河流域</w:t>
      </w:r>
      <w:r>
        <w:rPr>
          <w:szCs w:val="32"/>
        </w:rPr>
        <w:t>5</w:t>
      </w:r>
      <w:r>
        <w:rPr>
          <w:rFonts w:hint="eastAsia"/>
          <w:szCs w:val="32"/>
        </w:rPr>
        <w:t>公里河道整治</w:t>
      </w:r>
      <w:r>
        <w:rPr>
          <w:rFonts w:hint="eastAsia"/>
        </w:rPr>
        <w:t>。持续开展冬水田蓄水示范工程建设。</w:t>
      </w:r>
    </w:p>
    <w:p>
      <w:pPr>
        <w:ind w:firstLine="634" w:firstLineChars="200"/>
      </w:pPr>
      <w:r>
        <w:rPr>
          <w:rFonts w:hint="eastAsia"/>
          <w:b/>
          <w:szCs w:val="32"/>
        </w:rPr>
        <w:t>加大饮用水水源地保护力度。</w:t>
      </w:r>
      <w:r>
        <w:rPr>
          <w:rFonts w:hint="eastAsia"/>
          <w:szCs w:val="32"/>
        </w:rPr>
        <w:t>科学划定人民水库集中式饮用水水源地保护区，逐步开展分散式农村饮用水水源地保护区划分，</w:t>
      </w:r>
      <w:r>
        <w:rPr>
          <w:rFonts w:hint="eastAsia"/>
        </w:rPr>
        <w:t>定期清查、整改保护区内的生态环境问题</w:t>
      </w:r>
      <w:r>
        <w:rPr>
          <w:rFonts w:hint="eastAsia"/>
          <w:szCs w:val="32"/>
        </w:rPr>
        <w:t>。严格审查涉及水源保护区的旅游开发建设项目，特别是涉水项目，避免对水源地的过度开发和利用。</w:t>
      </w:r>
      <w:r>
        <w:rPr>
          <w:rFonts w:hint="eastAsia"/>
        </w:rPr>
        <w:t>逐步开展分散式农村饮用水水源地水质监测。</w:t>
      </w:r>
    </w:p>
    <w:p>
      <w:pPr>
        <w:ind w:firstLine="634" w:firstLineChars="200"/>
        <w:outlineLvl w:val="2"/>
        <w:rPr>
          <w:rFonts w:hint="eastAsia"/>
          <w:szCs w:val="32"/>
        </w:rPr>
      </w:pPr>
      <w:bookmarkStart w:id="53" w:name="_Toc106638429"/>
      <w:r>
        <w:rPr>
          <w:rFonts w:hint="eastAsia"/>
          <w:szCs w:val="32"/>
        </w:rPr>
        <w:t>4</w:t>
      </w:r>
      <w:r>
        <w:rPr>
          <w:szCs w:val="32"/>
        </w:rPr>
        <w:t>.3.2</w:t>
      </w:r>
      <w:r>
        <w:rPr>
          <w:rFonts w:hint="eastAsia"/>
          <w:szCs w:val="32"/>
        </w:rPr>
        <w:t>强化大气源头控制，</w:t>
      </w:r>
      <w:r>
        <w:rPr>
          <w:rFonts w:hint="eastAsia"/>
        </w:rPr>
        <w:t>落实污染防治管理</w:t>
      </w:r>
      <w:bookmarkEnd w:id="53"/>
    </w:p>
    <w:p>
      <w:pPr>
        <w:ind w:firstLine="634" w:firstLineChars="200"/>
        <w:rPr>
          <w:szCs w:val="32"/>
        </w:rPr>
      </w:pPr>
      <w:r>
        <w:rPr>
          <w:rFonts w:hint="eastAsia"/>
          <w:b/>
          <w:szCs w:val="32"/>
        </w:rPr>
        <w:t>持续优化能源利用结构。</w:t>
      </w:r>
      <w:r>
        <w:rPr>
          <w:rFonts w:hint="eastAsia"/>
          <w:szCs w:val="32"/>
        </w:rPr>
        <w:t>全面推进清洁能源工程，转变能源利用方式，优化能源利用结构，大力推广使用天然气、煤气、液化气、太阳能等清洁能源。在3个场镇实现天然气全覆盖，并逐步向燃灯村等偏远村庄延伸天然气管网，逐步鼓励和引导散居的农民实施“一池三改”，积极推广液化气、太阳能等能源。对于银月湖生态农业园、五花马生态农业园等重点景区，优先实现天然气覆盖或使用专用生物质锅炉，减少燃煤、薪柴的使用。</w:t>
      </w:r>
    </w:p>
    <w:p>
      <w:pPr>
        <w:ind w:firstLine="634" w:firstLineChars="200"/>
        <w:rPr>
          <w:szCs w:val="32"/>
        </w:rPr>
      </w:pPr>
      <w:r>
        <w:rPr>
          <w:rFonts w:hint="eastAsia" w:ascii="方正仿宋_GBK"/>
          <w:b/>
          <w:szCs w:val="32"/>
        </w:rPr>
        <w:t>强化扬尘污染防治。</w:t>
      </w:r>
      <w:r>
        <w:rPr>
          <w:rFonts w:hint="eastAsia"/>
          <w:szCs w:val="32"/>
        </w:rPr>
        <w:t>加强施工扬尘监管，严格落实重庆市《建筑施工现场扬尘控制管理标准》，督促施工单位编制扬尘控制方案，落实施工现场扬尘控制“十项”强制措施，强化拆迁工地、场地平整复绿过程中的扬尘污染控制。加强道路扬尘控制，规范化管理渣土运输车辆，落实“定车辆、定线路、定渣场”要求，渣土运输车必须实行全密闭。加强道路冲洗、洒水和清扫保洁力度。以区域建材行业为重点，加强厂区扬尘污染防治，落实好进出车辆冲洗制度，严格执行生产原材料遮挡制度。加强农忙时节田间作业机械带泥上路管控。逐步推进乡村旅游和乡村公路硬化建设，减少公路扬尘。</w:t>
      </w:r>
    </w:p>
    <w:p>
      <w:pPr>
        <w:ind w:firstLine="634" w:firstLineChars="200"/>
        <w:rPr>
          <w:rFonts w:hint="eastAsia"/>
          <w:szCs w:val="32"/>
        </w:rPr>
      </w:pPr>
      <w:r>
        <w:rPr>
          <w:rFonts w:hint="eastAsia"/>
          <w:b/>
          <w:szCs w:val="32"/>
        </w:rPr>
        <w:t>精准管控生活污染。</w:t>
      </w:r>
      <w:r>
        <w:rPr>
          <w:rFonts w:hint="eastAsia"/>
          <w:szCs w:val="32"/>
        </w:rPr>
        <w:t>实施公共机构食堂油烟整治，督促餐饮业开展餐饮油烟治理和定期清洗维护净化设施，督促露天餐饮经营单位店内作业，炉灶、烤炉不得置于店外，不得向空气中直接排放油烟污染大气。以农作物秸秆焚烧为重点加强露天焚烧监管，禁止露天焚烧电子废物、油毡、沥青、橡胶、塑料、皮革以及其他产生有毒有害烟尘和恶臭气体的物质。加强露天焚烧、露天烧烤执法，建设烟熏腊制品集中服务点。加强文明祭祀宣传，加强燃放烟花爆竹管理，严守烟花爆竹禁放区域管理规定。</w:t>
      </w:r>
    </w:p>
    <w:p>
      <w:pPr>
        <w:ind w:firstLine="634" w:firstLineChars="200"/>
        <w:rPr>
          <w:szCs w:val="32"/>
        </w:rPr>
      </w:pPr>
      <w:r>
        <w:rPr>
          <w:rFonts w:hint="eastAsia"/>
          <w:b/>
          <w:szCs w:val="32"/>
        </w:rPr>
        <w:t>加强工业大气污染防治。</w:t>
      </w:r>
      <w:r>
        <w:rPr>
          <w:rFonts w:hint="eastAsia"/>
          <w:szCs w:val="32"/>
        </w:rPr>
        <w:t>实施环境准入和环评审批制度，严禁引入高污染高排放企业。严格工业污染源全面达标排放，以水泥、建材等重点行业为重点，督促工业企业落实“一厂一策”精准防控措施，督促污染治理设施和环保设备稳定运行。鼓励辖区内现有企业改用清洁能源。严格露天喷漆作业，做好汽修涉挥发性有机物排放管控工作。</w:t>
      </w:r>
    </w:p>
    <w:p>
      <w:pPr>
        <w:ind w:firstLine="634" w:firstLineChars="200"/>
        <w:outlineLvl w:val="2"/>
        <w:rPr>
          <w:rFonts w:hint="eastAsia"/>
          <w:szCs w:val="32"/>
        </w:rPr>
      </w:pPr>
      <w:bookmarkStart w:id="54" w:name="_Toc106638430"/>
      <w:r>
        <w:rPr>
          <w:rFonts w:hint="eastAsia"/>
          <w:szCs w:val="32"/>
        </w:rPr>
        <w:t>4</w:t>
      </w:r>
      <w:r>
        <w:rPr>
          <w:szCs w:val="32"/>
        </w:rPr>
        <w:t>.3.3</w:t>
      </w:r>
      <w:r>
        <w:rPr>
          <w:rFonts w:hint="eastAsia"/>
          <w:szCs w:val="32"/>
        </w:rPr>
        <w:t>加强土壤环境保护，保障“菜篮子”安全</w:t>
      </w:r>
      <w:bookmarkEnd w:id="54"/>
    </w:p>
    <w:p>
      <w:pPr>
        <w:ind w:firstLine="634" w:firstLineChars="200"/>
        <w:rPr>
          <w:rFonts w:hint="eastAsia"/>
          <w:szCs w:val="32"/>
        </w:rPr>
      </w:pPr>
      <w:r>
        <w:rPr>
          <w:rFonts w:hint="eastAsia"/>
          <w:b/>
          <w:szCs w:val="32"/>
        </w:rPr>
        <w:t>严格保障农用地土壤安全。</w:t>
      </w:r>
      <w:r>
        <w:rPr>
          <w:rFonts w:hint="eastAsia"/>
          <w:szCs w:val="32"/>
        </w:rPr>
        <w:t>以粮油、茶园、蔬菜种植基地为重点，定期开展区域农产品质量安全监测和土壤重金属监测，确保农产品质量安全。加大优先保护类耕地保护，严格执行土地用途管制、耕地占补平衡、基本农田保护等各项耕地保护制度，大力推广测土配方施肥、化肥农药减量化、增施有机肥、少耕免耕与轮作、农膜减量与回收利用等措施，保障土壤环境质量不下降。加强规模化农作物种植区灌溉水水质监测与管理，合理规划并优化灌溉取水点，禁止使用未处理或处理不达标的污水灌溉农田。</w:t>
      </w:r>
    </w:p>
    <w:p>
      <w:pPr>
        <w:ind w:firstLine="634" w:firstLineChars="200"/>
        <w:rPr>
          <w:szCs w:val="32"/>
        </w:rPr>
      </w:pPr>
      <w:r>
        <w:rPr>
          <w:rFonts w:hint="eastAsia"/>
          <w:b/>
          <w:szCs w:val="32"/>
        </w:rPr>
        <w:t>防范新增土壤环境污染。</w:t>
      </w:r>
      <w:r>
        <w:rPr>
          <w:rFonts w:hint="eastAsia"/>
          <w:szCs w:val="32"/>
        </w:rPr>
        <w:t>各类可能造成土壤污染的建设项目，应当依法进行环境影响评价。严格执行相关行业企业布局选址要求，禁止在居民区和学校、医院、疗养院、养老院等单位周边新建、改建、扩建可能造成土壤污染的建设项目。</w:t>
      </w:r>
    </w:p>
    <w:p>
      <w:pPr>
        <w:ind w:firstLine="634" w:firstLineChars="200"/>
        <w:outlineLvl w:val="2"/>
        <w:rPr>
          <w:szCs w:val="32"/>
        </w:rPr>
      </w:pPr>
      <w:bookmarkStart w:id="55" w:name="_Toc106638431"/>
      <w:r>
        <w:rPr>
          <w:rFonts w:hint="eastAsia"/>
          <w:szCs w:val="32"/>
        </w:rPr>
        <w:t>4</w:t>
      </w:r>
      <w:r>
        <w:rPr>
          <w:szCs w:val="32"/>
        </w:rPr>
        <w:t>.3.4</w:t>
      </w:r>
      <w:r>
        <w:rPr>
          <w:rFonts w:hint="eastAsia"/>
          <w:szCs w:val="32"/>
        </w:rPr>
        <w:t>强化噪声污染防治，打造宁静人居环境</w:t>
      </w:r>
      <w:bookmarkEnd w:id="55"/>
    </w:p>
    <w:p>
      <w:pPr>
        <w:ind w:firstLine="634" w:firstLineChars="200"/>
        <w:rPr>
          <w:rFonts w:hint="eastAsia"/>
          <w:szCs w:val="32"/>
        </w:rPr>
      </w:pPr>
      <w:r>
        <w:rPr>
          <w:rFonts w:hint="eastAsia"/>
          <w:b/>
          <w:szCs w:val="32"/>
        </w:rPr>
        <w:t>加强噪声源头预防。</w:t>
      </w:r>
      <w:r>
        <w:rPr>
          <w:rFonts w:hint="eastAsia"/>
          <w:szCs w:val="32"/>
        </w:rPr>
        <w:t>充分发挥各职能部门对城市噪声源头的控制作用，通过加强规划布局、环境准入控制、社会管理、群众参与等措施，减少新噪声源的产生，控制噪声影响。进一步加强综合执法联动，健全区镇两级齐抓共管、部门协调联动机制，抓好噪声预防与控制综合管理，营造好自觉维护社区“宁静”的社会氛围。</w:t>
      </w:r>
    </w:p>
    <w:p>
      <w:pPr>
        <w:ind w:firstLine="634" w:firstLineChars="200"/>
        <w:rPr>
          <w:rFonts w:hint="eastAsia"/>
          <w:szCs w:val="32"/>
        </w:rPr>
      </w:pPr>
      <w:r>
        <w:rPr>
          <w:rFonts w:hint="eastAsia"/>
          <w:b/>
          <w:szCs w:val="32"/>
        </w:rPr>
        <w:t>减缓交通噪声污染。</w:t>
      </w:r>
      <w:r>
        <w:rPr>
          <w:rFonts w:hint="eastAsia"/>
          <w:szCs w:val="32"/>
        </w:rPr>
        <w:t>完善场镇街道和社区绿化，合理利用道路两侧的土地和建筑进行隔声设计，充分利用行道树的隔声作用降低噪声，必要时设置声屏障隔声，减少交通污染。交通干线两侧新建噪声敏感建筑物的，应当符合噪声防护要求，场镇道路路面应当符合本市低噪声路面维护技术规程要求。规划配合道路路网建设，分流过境车辆，减少交通噪声对镇区的干扰，远期实现建成区内全路段禁鸣。重点是在学校、医院前道路设置机动车禁鸣路段，禁止车辆在建成区内使用高音喇叭。</w:t>
      </w:r>
    </w:p>
    <w:p>
      <w:pPr>
        <w:ind w:firstLine="634" w:firstLineChars="200"/>
        <w:rPr>
          <w:szCs w:val="32"/>
        </w:rPr>
      </w:pPr>
      <w:r>
        <w:rPr>
          <w:rFonts w:hint="eastAsia"/>
          <w:b/>
          <w:szCs w:val="32"/>
        </w:rPr>
        <w:t>严控社会区域噪声。</w:t>
      </w:r>
      <w:r>
        <w:rPr>
          <w:rFonts w:hint="eastAsia"/>
          <w:szCs w:val="32"/>
        </w:rPr>
        <w:t>镇区严格限制社会生活噪声，重点保护居民区、学校、医院等，保持宁静的人居环境。商业宣传、文化、健康和娱乐活动应注意选择合适的场地，控制音响设备的音量和播放时间，避免噪声扰民。严禁在街区和住宅区使用高音喇叭，合理规划建设停车场，实现人车分道，建设步行街。</w:t>
      </w:r>
    </w:p>
    <w:p>
      <w:pPr>
        <w:ind w:firstLine="634" w:firstLineChars="200"/>
        <w:rPr>
          <w:szCs w:val="32"/>
        </w:rPr>
      </w:pPr>
      <w:r>
        <w:rPr>
          <w:rFonts w:hint="eastAsia"/>
          <w:b/>
          <w:bCs/>
          <w:szCs w:val="32"/>
        </w:rPr>
        <w:t>减少工业企业噪声</w:t>
      </w:r>
      <w:r>
        <w:rPr>
          <w:rFonts w:hint="eastAsia"/>
          <w:szCs w:val="32"/>
        </w:rPr>
        <w:t>。对于噪声排放不达标、</w:t>
      </w:r>
      <w:r>
        <w:rPr>
          <w:rFonts w:hint="eastAsia"/>
          <w:color w:val="auto"/>
          <w:szCs w:val="32"/>
        </w:rPr>
        <w:t>居民反映强烈</w:t>
      </w:r>
      <w:r>
        <w:rPr>
          <w:rFonts w:hint="eastAsia"/>
          <w:szCs w:val="32"/>
        </w:rPr>
        <w:t>的噪声污染企业实施限期治理。严禁在居民楼或噪声敏感区域新建金属加工、木材加工、机车维修等小型加工企业，防止噪声扰民。</w:t>
      </w:r>
    </w:p>
    <w:p>
      <w:pPr>
        <w:ind w:firstLine="634" w:firstLineChars="200"/>
        <w:rPr>
          <w:rFonts w:hint="eastAsia"/>
          <w:szCs w:val="32"/>
        </w:rPr>
      </w:pPr>
    </w:p>
    <w:p>
      <w:pPr>
        <w:ind w:firstLine="634" w:firstLineChars="200"/>
        <w:jc w:val="left"/>
        <w:outlineLvl w:val="1"/>
        <w:rPr>
          <w:rFonts w:hint="eastAsia" w:eastAsia="方正楷体_GBK"/>
          <w:szCs w:val="32"/>
        </w:rPr>
      </w:pPr>
      <w:bookmarkStart w:id="56" w:name="_Toc106638432"/>
      <w:r>
        <w:rPr>
          <w:rFonts w:hint="eastAsia" w:eastAsia="方正楷体_GBK"/>
          <w:szCs w:val="32"/>
        </w:rPr>
        <w:t>4</w:t>
      </w:r>
      <w:r>
        <w:rPr>
          <w:rFonts w:eastAsia="方正楷体_GBK"/>
          <w:szCs w:val="32"/>
        </w:rPr>
        <w:t>.4</w:t>
      </w:r>
      <w:r>
        <w:rPr>
          <w:rFonts w:hint="eastAsia" w:eastAsia="方正楷体_GBK"/>
          <w:szCs w:val="32"/>
        </w:rPr>
        <w:t>优化区域空间布局，展现九龙生态风光</w:t>
      </w:r>
      <w:bookmarkEnd w:id="56"/>
    </w:p>
    <w:p>
      <w:pPr>
        <w:ind w:firstLine="634" w:firstLineChars="200"/>
        <w:outlineLvl w:val="2"/>
        <w:rPr>
          <w:szCs w:val="32"/>
        </w:rPr>
      </w:pPr>
      <w:bookmarkStart w:id="57" w:name="_Toc106638433"/>
      <w:r>
        <w:rPr>
          <w:rFonts w:hint="eastAsia"/>
          <w:szCs w:val="32"/>
        </w:rPr>
        <w:t>4</w:t>
      </w:r>
      <w:r>
        <w:rPr>
          <w:szCs w:val="32"/>
        </w:rPr>
        <w:t>.4.1</w:t>
      </w:r>
      <w:r>
        <w:rPr>
          <w:rFonts w:hint="eastAsia"/>
          <w:szCs w:val="32"/>
        </w:rPr>
        <w:t>筑牢生态安全格局，确保生态保护底线</w:t>
      </w:r>
      <w:bookmarkEnd w:id="57"/>
    </w:p>
    <w:p>
      <w:pPr>
        <w:ind w:firstLine="634" w:firstLineChars="200"/>
        <w:rPr>
          <w:szCs w:val="32"/>
        </w:rPr>
      </w:pPr>
      <w:r>
        <w:rPr>
          <w:rFonts w:hint="eastAsia"/>
          <w:szCs w:val="32"/>
        </w:rPr>
        <w:t>以森林、湿地生态系统保护为核心，打造九龙河生态保护廊道，构建茶山竹海、云雾山、燃灯山生态屏障，保护好金鼎寺水库、红旗水库、九龙河各支流等重要生态节点，形成“一廊三山一网”生态空间格局，全面提升生态系统稳定性。全面落实生态保护红线管控要求，确保生态保护红线面积不减少、功能不降低、性质不改变，配合区级部门开展生态保护红线勘界定标工作；全镇编制涉及生态红线的乡村振兴规划、旅游规划等产业规划时，相关规划要符合生态保护红线空间管控要求；加大红线范围内违建、毁林、捕猎等破坏生态环境行为的查处力度。配合开展自然保护地优化调整，配合开展“绿盾”自然保护地监督检查专项行动。</w:t>
      </w:r>
    </w:p>
    <w:p>
      <w:pPr>
        <w:ind w:firstLine="634" w:firstLineChars="200"/>
        <w:outlineLvl w:val="2"/>
        <w:rPr>
          <w:rFonts w:hint="eastAsia"/>
          <w:szCs w:val="32"/>
        </w:rPr>
      </w:pPr>
      <w:bookmarkStart w:id="58" w:name="_Toc106638434"/>
      <w:r>
        <w:rPr>
          <w:rFonts w:hint="eastAsia"/>
          <w:szCs w:val="32"/>
        </w:rPr>
        <w:t>4</w:t>
      </w:r>
      <w:r>
        <w:rPr>
          <w:szCs w:val="32"/>
        </w:rPr>
        <w:t>.4.2</w:t>
      </w:r>
      <w:r>
        <w:rPr>
          <w:rFonts w:hint="eastAsia"/>
          <w:szCs w:val="32"/>
        </w:rPr>
        <w:t>保护重要生态系统，夯实自然生态本底</w:t>
      </w:r>
      <w:bookmarkEnd w:id="58"/>
    </w:p>
    <w:p>
      <w:pPr>
        <w:ind w:firstLine="634" w:firstLineChars="200"/>
        <w:rPr>
          <w:rFonts w:hint="eastAsia"/>
          <w:szCs w:val="32"/>
        </w:rPr>
      </w:pPr>
      <w:r>
        <w:rPr>
          <w:rFonts w:hint="eastAsia"/>
          <w:b/>
          <w:szCs w:val="32"/>
        </w:rPr>
        <w:t>保护与培育森林生态系统。</w:t>
      </w:r>
      <w:r>
        <w:rPr>
          <w:rFonts w:hint="eastAsia"/>
          <w:szCs w:val="32"/>
        </w:rPr>
        <w:t>全面推行林长制，严格林地利用管理，实施林地用途管制、林地使用审核审批和使用林地定额制度。以“三山”范围内森林为重点开展天然林资源保护，实施退耕还林、封山育林、中幼林抚育等工程。强化“三山”原生生态系统的管护和修复，科学引导疏解区域人口向外迁移分流。继续推进国土绿化提升行动，按照应绿则绿、见缝插绿的原则，积极申报开展点线面结合的人工造林工程。强化森林防火宣传教育、野外火源管控、森林消防队伍建设和防火物资储备，建立森林防火长效机制，严防森林火灾。建立健全有害生物监管和联防联治机制，严格控制以松材线虫病疫情为重点的林业有害生物危害。到202</w:t>
      </w:r>
      <w:r>
        <w:rPr>
          <w:szCs w:val="32"/>
        </w:rPr>
        <w:t>5</w:t>
      </w:r>
      <w:r>
        <w:rPr>
          <w:rFonts w:hint="eastAsia"/>
          <w:szCs w:val="32"/>
        </w:rPr>
        <w:t>年，全镇森林覆盖率稳定保持在4</w:t>
      </w:r>
      <w:r>
        <w:rPr>
          <w:szCs w:val="32"/>
        </w:rPr>
        <w:t>3</w:t>
      </w:r>
      <w:r>
        <w:rPr>
          <w:rFonts w:hint="eastAsia"/>
          <w:szCs w:val="32"/>
        </w:rPr>
        <w:t>%以上。</w:t>
      </w:r>
    </w:p>
    <w:p>
      <w:pPr>
        <w:ind w:firstLine="634" w:firstLineChars="200"/>
        <w:rPr>
          <w:szCs w:val="32"/>
        </w:rPr>
      </w:pPr>
      <w:r>
        <w:rPr>
          <w:rFonts w:hint="eastAsia"/>
          <w:b/>
          <w:szCs w:val="32"/>
        </w:rPr>
        <w:t>保护与修复湿地生态系统。</w:t>
      </w:r>
      <w:r>
        <w:rPr>
          <w:rFonts w:hint="eastAsia"/>
          <w:szCs w:val="32"/>
        </w:rPr>
        <w:t>巩固现有整治成果的基础上，持续深化九龙河流域的生态修复和综合整治，增强水体自净能力，提高流域水生态功能。以河流湿地、库塘湿地为典型开展湿地资源保护。积极向上争取资金实施污水处理站人工湿地二次净化工程。</w:t>
      </w:r>
    </w:p>
    <w:p>
      <w:pPr>
        <w:ind w:firstLine="634" w:firstLineChars="200"/>
        <w:rPr>
          <w:szCs w:val="32"/>
        </w:rPr>
      </w:pPr>
      <w:r>
        <w:rPr>
          <w:rFonts w:hint="eastAsia"/>
          <w:b/>
          <w:szCs w:val="32"/>
        </w:rPr>
        <w:t>保护与改良农田生态系统。</w:t>
      </w:r>
      <w:r>
        <w:rPr>
          <w:rFonts w:hint="eastAsia"/>
          <w:szCs w:val="32"/>
        </w:rPr>
        <w:t>实施农业生态功能区划，中部农产品主产区建设集中连片、设施配套、高产稳产、生态良好、抗灾能力强的高标准农田，整村推进农田宜机化整治；镇域周边“三山”地区重点打造农业生态功能区，建设集水土保持、生态涵养、特色农产品生产于一体，与山区丘陵环境相适应的生态型农田；镇域城镇发展区域，特别是3个场镇以及重点景点，发挥农田的景观、绿隔功能，将耕地作为绿心、绿带的重要组成部分，促进现代化农业和休闲农业发展。</w:t>
      </w:r>
    </w:p>
    <w:p>
      <w:pPr>
        <w:ind w:firstLine="634" w:firstLineChars="200"/>
        <w:rPr>
          <w:rFonts w:hint="eastAsia"/>
          <w:szCs w:val="32"/>
        </w:rPr>
      </w:pPr>
    </w:p>
    <w:p>
      <w:pPr>
        <w:ind w:firstLine="634" w:firstLineChars="200"/>
        <w:outlineLvl w:val="2"/>
        <w:rPr>
          <w:rFonts w:hint="eastAsia"/>
          <w:szCs w:val="32"/>
        </w:rPr>
      </w:pPr>
      <w:bookmarkStart w:id="59" w:name="_Toc106638435"/>
      <w:r>
        <w:rPr>
          <w:rFonts w:hint="eastAsia"/>
          <w:szCs w:val="32"/>
        </w:rPr>
        <w:t>4.4.3保护生物多样性，促进人与自然和谐共生</w:t>
      </w:r>
      <w:bookmarkEnd w:id="59"/>
    </w:p>
    <w:p>
      <w:pPr>
        <w:ind w:firstLine="634" w:firstLineChars="200"/>
        <w:rPr>
          <w:szCs w:val="32"/>
        </w:rPr>
      </w:pPr>
      <w:r>
        <w:rPr>
          <w:rFonts w:hint="eastAsia"/>
          <w:szCs w:val="32"/>
        </w:rPr>
        <w:t>以九龙河、“三山”为生物多样性保护优先区域，积极争取设立生物多样性监测点，配合开展生物多样性现状调查。加大对自然山体、水库及河流等重点生态敏感区野生动植物的保护力度，加强动物疫源疫病监测和防治，禁食野生动物。严厉打击乱捕滥猎、非法经营野生动植物及其制品、破坏野生动植物栖息地等违法犯罪行为。严格防控外来入侵物种，以林地、农田为重点防控区域，建立外来入侵生物监管体系，进一步加强生物检疫工作。</w:t>
      </w:r>
    </w:p>
    <w:p>
      <w:pPr>
        <w:ind w:firstLine="634" w:firstLineChars="200"/>
        <w:rPr>
          <w:rFonts w:hint="eastAsia"/>
          <w:szCs w:val="32"/>
        </w:rPr>
      </w:pPr>
    </w:p>
    <w:p>
      <w:pPr>
        <w:ind w:firstLine="634" w:firstLineChars="200"/>
        <w:jc w:val="left"/>
        <w:outlineLvl w:val="1"/>
        <w:rPr>
          <w:rFonts w:eastAsia="方正楷体_GBK"/>
          <w:szCs w:val="32"/>
        </w:rPr>
      </w:pPr>
      <w:bookmarkStart w:id="60" w:name="_Toc106638436"/>
      <w:r>
        <w:rPr>
          <w:rFonts w:hint="eastAsia" w:eastAsia="方正楷体_GBK"/>
          <w:szCs w:val="32"/>
        </w:rPr>
        <w:t>4</w:t>
      </w:r>
      <w:r>
        <w:rPr>
          <w:rFonts w:eastAsia="方正楷体_GBK"/>
          <w:szCs w:val="32"/>
        </w:rPr>
        <w:t>.5</w:t>
      </w:r>
      <w:r>
        <w:rPr>
          <w:rFonts w:hint="eastAsia" w:eastAsia="方正楷体_GBK"/>
          <w:szCs w:val="32"/>
        </w:rPr>
        <w:t>落实环境风险防控要求，不断完善安全体系</w:t>
      </w:r>
      <w:bookmarkEnd w:id="60"/>
    </w:p>
    <w:p>
      <w:pPr>
        <w:ind w:firstLine="634" w:firstLineChars="200"/>
        <w:outlineLvl w:val="2"/>
        <w:rPr>
          <w:rFonts w:hint="eastAsia"/>
          <w:szCs w:val="32"/>
        </w:rPr>
      </w:pPr>
      <w:bookmarkStart w:id="61" w:name="_Toc106638437"/>
      <w:r>
        <w:rPr>
          <w:rFonts w:hint="eastAsia"/>
          <w:szCs w:val="32"/>
        </w:rPr>
        <w:t>4.5</w:t>
      </w:r>
      <w:r>
        <w:rPr>
          <w:szCs w:val="32"/>
        </w:rPr>
        <w:t>.</w:t>
      </w:r>
      <w:r>
        <w:rPr>
          <w:rFonts w:hint="eastAsia"/>
          <w:szCs w:val="32"/>
        </w:rPr>
        <w:t>1完善环境风险防控体系，强化应急能力建设</w:t>
      </w:r>
      <w:bookmarkEnd w:id="61"/>
    </w:p>
    <w:p>
      <w:pPr>
        <w:ind w:firstLine="634" w:firstLineChars="200"/>
        <w:jc w:val="left"/>
        <w:rPr>
          <w:rFonts w:hint="eastAsia"/>
          <w:szCs w:val="32"/>
        </w:rPr>
      </w:pPr>
      <w:r>
        <w:rPr>
          <w:rFonts w:hint="eastAsia"/>
          <w:szCs w:val="32"/>
        </w:rPr>
        <w:t>严格落实《重庆市永川区人民政府办公室关于印发重庆市永川区突发环境事件应急预案的通知》（永川府办发〔2021〕136号）文件要求，建立环境风险防控体系，整合有关部门的各类环境安全预警信息，实现信息资源共享共用，并将应急物资储备统筹纳入应急物资库建设。全力做好突发环境事件应急响应工作，畅通信息报送渠道，加强信息报送和信息发布，发现可能导致突发环境事件风险隐患的，及时通报区生态环境局。加强环境应急救援队伍能力建设，逐步建立社会化救援机制。积极配合区级相关部门定期开展桌面推演、实战演练和联合演练，提高防范和处置突发环境事件的技能，增强防范和处置能力。加强突发环境事件预防、处置的考核制度和奖惩力度，明确责任，对不履行职责引起事态扩大、造成严重后果的责任人依法追究责任。通过各类媒体向公众宣传本预案相关的环境应急知识，提高企事业单位主体责任、部门应急联动、公众自我防范的意识。</w:t>
      </w:r>
    </w:p>
    <w:p>
      <w:pPr>
        <w:ind w:firstLine="634" w:firstLineChars="200"/>
        <w:outlineLvl w:val="2"/>
        <w:rPr>
          <w:rFonts w:hint="eastAsia"/>
          <w:szCs w:val="32"/>
        </w:rPr>
      </w:pPr>
      <w:bookmarkStart w:id="62" w:name="_Toc106638438"/>
      <w:r>
        <w:rPr>
          <w:rFonts w:hint="eastAsia"/>
          <w:szCs w:val="32"/>
        </w:rPr>
        <w:t>4.5.2加强危险废物安全处置，防控污染环境风险</w:t>
      </w:r>
      <w:bookmarkEnd w:id="62"/>
    </w:p>
    <w:p>
      <w:pPr>
        <w:ind w:firstLine="634" w:firstLineChars="200"/>
        <w:jc w:val="left"/>
        <w:rPr>
          <w:rFonts w:hint="eastAsia"/>
          <w:szCs w:val="32"/>
        </w:rPr>
      </w:pPr>
      <w:r>
        <w:rPr>
          <w:rFonts w:hint="eastAsia"/>
          <w:szCs w:val="32"/>
        </w:rPr>
        <w:t>严格危险废物处置，强化企业主体责任，完善企业备案制度，按照“谁产生、谁处置”的原则，及时处置废弃物，消除安全隐患。全面开展危险废物排查，对属性不明的固体废物进行鉴别鉴定，新发现的固体废物隐患，及时制定整改方案，明确责任人和整改期限，科学规范迅速整改到位。核实医疗机构危险废物的产生、收集、贮存、包装、标识、转移、去向等情况，督促规范安全处置，按照危险废物贮存标准和识别标识设置等相关要求，设置防扬散、防流失、防渗漏装置，规范危险废物信息公开栏、贮存设施警示标志牌。</w:t>
      </w:r>
    </w:p>
    <w:p>
      <w:pPr>
        <w:ind w:firstLine="634" w:firstLineChars="200"/>
        <w:outlineLvl w:val="2"/>
        <w:rPr>
          <w:rFonts w:hint="eastAsia"/>
          <w:szCs w:val="32"/>
        </w:rPr>
      </w:pPr>
      <w:bookmarkStart w:id="63" w:name="_Toc106638439"/>
      <w:r>
        <w:rPr>
          <w:rFonts w:hint="eastAsia"/>
          <w:szCs w:val="32"/>
        </w:rPr>
        <w:t>4.</w:t>
      </w:r>
      <w:r>
        <w:rPr>
          <w:szCs w:val="32"/>
        </w:rPr>
        <w:t>5</w:t>
      </w:r>
      <w:r>
        <w:rPr>
          <w:rFonts w:hint="eastAsia"/>
          <w:szCs w:val="32"/>
        </w:rPr>
        <w:t>.</w:t>
      </w:r>
      <w:r>
        <w:rPr>
          <w:szCs w:val="32"/>
        </w:rPr>
        <w:t>3</w:t>
      </w:r>
      <w:r>
        <w:rPr>
          <w:rFonts w:hint="eastAsia"/>
          <w:szCs w:val="32"/>
        </w:rPr>
        <w:t>做好生态防灾建设，保障区域生态安全</w:t>
      </w:r>
      <w:bookmarkEnd w:id="63"/>
    </w:p>
    <w:p>
      <w:pPr>
        <w:ind w:firstLine="634" w:firstLineChars="200"/>
        <w:jc w:val="left"/>
        <w:rPr>
          <w:szCs w:val="32"/>
        </w:rPr>
      </w:pPr>
      <w:r>
        <w:rPr>
          <w:rFonts w:hint="eastAsia"/>
          <w:szCs w:val="32"/>
        </w:rPr>
        <w:t>突出地质灾害防治和地质环境保护，完善滑坡、泥石流、崩塌等防灾减灾基础设施建设，确保地质安全。提升自然灾害应急处置能力，编制实施各类突发环境事件应急预案，加大应急救援队伍建设力度，加强突发性自然灾害事件的预防和处置，做好灾后重建、重点区域安全防范等工作。完成小型水库新增除险加固工程、山洪沟治理、城镇防洪排涝整治等工程。加强水土流失防治工程建设，实施农村耕地坡改梯，完善蓄水池、沉砂池、作业便道、排水沟等设施，加大农村堰塘、堡坎的加固。</w:t>
      </w:r>
    </w:p>
    <w:p>
      <w:pPr>
        <w:ind w:firstLine="634" w:firstLineChars="200"/>
        <w:jc w:val="left"/>
        <w:rPr>
          <w:rFonts w:hint="eastAsia"/>
          <w:szCs w:val="32"/>
        </w:rPr>
      </w:pPr>
    </w:p>
    <w:p>
      <w:pPr>
        <w:ind w:firstLine="634" w:firstLineChars="200"/>
        <w:jc w:val="left"/>
        <w:outlineLvl w:val="1"/>
        <w:rPr>
          <w:rFonts w:hint="eastAsia" w:eastAsia="方正楷体_GBK"/>
          <w:szCs w:val="32"/>
        </w:rPr>
      </w:pPr>
      <w:bookmarkStart w:id="64" w:name="_Toc106638440"/>
      <w:r>
        <w:rPr>
          <w:rFonts w:hint="eastAsia" w:eastAsia="方正楷体_GBK"/>
          <w:szCs w:val="32"/>
        </w:rPr>
        <w:t>4</w:t>
      </w:r>
      <w:r>
        <w:rPr>
          <w:rFonts w:eastAsia="方正楷体_GBK"/>
          <w:szCs w:val="32"/>
        </w:rPr>
        <w:t>.6</w:t>
      </w:r>
      <w:r>
        <w:rPr>
          <w:rFonts w:hint="eastAsia" w:eastAsia="方正楷体_GBK"/>
          <w:szCs w:val="32"/>
        </w:rPr>
        <w:t>持续改善人居环境，建设美丽宜居乡村</w:t>
      </w:r>
      <w:bookmarkEnd w:id="64"/>
    </w:p>
    <w:p>
      <w:pPr>
        <w:ind w:firstLine="634" w:firstLineChars="200"/>
        <w:outlineLvl w:val="2"/>
        <w:rPr>
          <w:rFonts w:hint="eastAsia"/>
          <w:szCs w:val="32"/>
        </w:rPr>
      </w:pPr>
      <w:bookmarkStart w:id="65" w:name="_Toc106638441"/>
      <w:r>
        <w:rPr>
          <w:rFonts w:hint="eastAsia"/>
          <w:szCs w:val="32"/>
        </w:rPr>
        <w:t>4</w:t>
      </w:r>
      <w:r>
        <w:rPr>
          <w:szCs w:val="32"/>
        </w:rPr>
        <w:t>.6.1</w:t>
      </w:r>
      <w:r>
        <w:rPr>
          <w:rFonts w:hint="eastAsia"/>
          <w:szCs w:val="32"/>
        </w:rPr>
        <w:t>提升生活污水治理水平，扎实推进农村厕改</w:t>
      </w:r>
      <w:bookmarkEnd w:id="65"/>
    </w:p>
    <w:p>
      <w:pPr>
        <w:ind w:firstLine="634" w:firstLineChars="200"/>
        <w:rPr>
          <w:rFonts w:hint="eastAsia"/>
          <w:szCs w:val="32"/>
        </w:rPr>
      </w:pPr>
      <w:r>
        <w:rPr>
          <w:rFonts w:hint="eastAsia"/>
          <w:szCs w:val="32"/>
        </w:rPr>
        <w:t>加强3个场镇污水处理设施、污水管网运行管理，适时更新老旧、破损管网，确保污水处理设施正常运行。按照就近原则，推进场镇污水处理厂配套管网建设，将满足条件的周边农村区域纳入处理范围。规范场镇污水处理设施处置处理过程中产生的污泥。充分借鉴金鼎村聚居点生活污水治理经验，以农村地区的聚居点为重点，推广建设小型污水处理站以及简易人工湿地治理农村分散污水，同时鼓励散居农户采用自然湿地、生物塘、化粪池等生态化和资源化的处理方式处理污水。重视景区发展带来的生活污水治理问题，规范隔油池建设，适时配套小型污水治理设施，确保污水不直排。以农户自愿改厕为前提，将卫生厕所改造作为重点推进农村生活污水治理。加强农村厕所革命与生活污水治理有机衔接，积极推动卫生厕所改造与生活污水治理一体化建设，因地制宜推进厕所粪污分散处理、集中处理与纳入污水管网统一处理，鼓励联户、联村、村镇一体处理，以建立粪污收集处理体系为重点，推进厕所粪污无害化处理。合理规划布局农村公共厕所、乡村景区旅游厕所，落实公共厕所管护责任，强化日常卫生保洁和定期清掏。到2</w:t>
      </w:r>
      <w:r>
        <w:rPr>
          <w:szCs w:val="32"/>
        </w:rPr>
        <w:t>025</w:t>
      </w:r>
      <w:r>
        <w:rPr>
          <w:rFonts w:hint="eastAsia"/>
          <w:szCs w:val="32"/>
        </w:rPr>
        <w:t>年，集中式生活污水处理率保持在9</w:t>
      </w:r>
      <w:r>
        <w:rPr>
          <w:szCs w:val="32"/>
        </w:rPr>
        <w:t>9%</w:t>
      </w:r>
      <w:r>
        <w:rPr>
          <w:rFonts w:hint="eastAsia"/>
          <w:szCs w:val="32"/>
        </w:rPr>
        <w:t>以上，完成区级下达的无害化卫生厕所改造目标任务。</w:t>
      </w:r>
    </w:p>
    <w:p>
      <w:pPr>
        <w:ind w:firstLine="634" w:firstLineChars="200"/>
        <w:outlineLvl w:val="2"/>
        <w:rPr>
          <w:rFonts w:hint="eastAsia"/>
          <w:szCs w:val="32"/>
        </w:rPr>
      </w:pPr>
      <w:bookmarkStart w:id="66" w:name="_Toc106638442"/>
      <w:r>
        <w:rPr>
          <w:rFonts w:hint="eastAsia"/>
          <w:szCs w:val="32"/>
        </w:rPr>
        <w:t>4</w:t>
      </w:r>
      <w:r>
        <w:rPr>
          <w:szCs w:val="32"/>
        </w:rPr>
        <w:t>.6.2</w:t>
      </w:r>
      <w:r>
        <w:rPr>
          <w:rFonts w:hint="eastAsia"/>
          <w:szCs w:val="32"/>
        </w:rPr>
        <w:t>推进农村垃圾分类治理，建设垃圾分类示范村</w:t>
      </w:r>
      <w:bookmarkEnd w:id="66"/>
    </w:p>
    <w:p>
      <w:pPr>
        <w:ind w:firstLine="634" w:firstLineChars="200"/>
        <w:rPr>
          <w:rFonts w:hint="eastAsia"/>
          <w:szCs w:val="32"/>
        </w:rPr>
      </w:pPr>
      <w:r>
        <w:rPr>
          <w:rFonts w:hint="eastAsia"/>
          <w:szCs w:val="32"/>
        </w:rPr>
        <w:t>巩固提升前期农村生活垃圾治理成效，继续完善“户分类、村收集、镇运输、县集中处置”模式，建立健全有完备垃圾设施设备、有成熟治理技术、有稳定保洁队伍、有完善监管制度、有长效资金保障的农村生活垃圾收运处置体系。全镇所有村开展农村生活垃圾分类示范村建设，深入推进金鼎村、洞子口村等积极创建市级示范村。因地制宜建立垃圾分类年度工作计划，开展垃圾分类处理的宣传工作，引导居民按照可堆肥垃圾、可回收垃圾、有害垃圾、不可回收垃圾对生活垃圾进行分类，培养居民树立垃圾分类观念，努力推动居民习惯养成；加快分类设施建设，不断完善投放收集系统、运输系统；加快形成长效机制，建立村民自律制度，把垃圾源头分类和定时投放及其他村民卫生行为相关要求修订入村规民约，完善落实生活垃圾收费制度，建立责任包干制度，明确党员、干部分片责任片区。到202</w:t>
      </w:r>
      <w:r>
        <w:rPr>
          <w:szCs w:val="32"/>
        </w:rPr>
        <w:t>5</w:t>
      </w:r>
      <w:r>
        <w:rPr>
          <w:rFonts w:hint="eastAsia"/>
          <w:szCs w:val="32"/>
        </w:rPr>
        <w:t>年，全镇生活垃圾收集转运率稳定保持100%，居民普遍形成生活垃圾分类习惯，力争创建1个市级垃圾分类示范村。</w:t>
      </w:r>
    </w:p>
    <w:p>
      <w:pPr>
        <w:ind w:firstLine="634" w:firstLineChars="200"/>
        <w:outlineLvl w:val="2"/>
        <w:rPr>
          <w:rFonts w:hint="eastAsia"/>
          <w:szCs w:val="32"/>
        </w:rPr>
      </w:pPr>
      <w:bookmarkStart w:id="67" w:name="_Toc106638443"/>
      <w:r>
        <w:rPr>
          <w:rFonts w:hint="eastAsia"/>
          <w:szCs w:val="32"/>
        </w:rPr>
        <w:t>4</w:t>
      </w:r>
      <w:r>
        <w:rPr>
          <w:szCs w:val="32"/>
        </w:rPr>
        <w:t>.6.3</w:t>
      </w:r>
      <w:r>
        <w:rPr>
          <w:rFonts w:hint="eastAsia"/>
          <w:szCs w:val="32"/>
        </w:rPr>
        <w:t>推广使用清洁能源，构建现代乡村能源体系</w:t>
      </w:r>
      <w:bookmarkEnd w:id="67"/>
    </w:p>
    <w:p>
      <w:pPr>
        <w:ind w:firstLine="634" w:firstLineChars="200"/>
        <w:rPr>
          <w:szCs w:val="32"/>
        </w:rPr>
      </w:pPr>
      <w:r>
        <w:rPr>
          <w:rFonts w:hint="eastAsia"/>
          <w:szCs w:val="32"/>
        </w:rPr>
        <w:t>全面推进清洁能源工程，进一步强调环境保护和资源节约，转变能源利用方式，优化能源利用结构，大力推广使用天然气、太阳能等清洁能源。加快推进金龙镇天然气管道建设和安装工作，实现建成区全面通气，逐步在各村扩建天然气管网，力争做到能接尽接天然气。加强农村地区使用清洁能源的宣传，减少农村居民薪柴使用量，促进农村资源循环使用，推动农村节能减排。推进旅游接待点、农家乐使用天然气、电、液化气、太阳能等清洁能源作为燃料。配合开展新能源汽车下乡推广。到2025年，金龙镇天然气气化率达到</w:t>
      </w:r>
      <w:r>
        <w:rPr>
          <w:szCs w:val="32"/>
        </w:rPr>
        <w:t>65%</w:t>
      </w:r>
      <w:r>
        <w:rPr>
          <w:rFonts w:hint="eastAsia"/>
          <w:szCs w:val="32"/>
        </w:rPr>
        <w:t>，全镇使用清洁能源的户数比例上升至70%。</w:t>
      </w:r>
    </w:p>
    <w:p>
      <w:pPr>
        <w:ind w:firstLine="634" w:firstLineChars="200"/>
        <w:rPr>
          <w:rFonts w:hint="eastAsia"/>
          <w:szCs w:val="32"/>
        </w:rPr>
      </w:pPr>
    </w:p>
    <w:p>
      <w:pPr>
        <w:ind w:firstLine="634" w:firstLineChars="200"/>
        <w:jc w:val="left"/>
        <w:outlineLvl w:val="1"/>
        <w:rPr>
          <w:rFonts w:eastAsia="方正楷体_GBK"/>
          <w:szCs w:val="32"/>
        </w:rPr>
      </w:pPr>
      <w:bookmarkStart w:id="68" w:name="_Toc106638444"/>
      <w:r>
        <w:rPr>
          <w:rFonts w:hint="eastAsia" w:eastAsia="方正楷体_GBK"/>
          <w:szCs w:val="32"/>
        </w:rPr>
        <w:t>4</w:t>
      </w:r>
      <w:r>
        <w:rPr>
          <w:rFonts w:eastAsia="方正楷体_GBK"/>
          <w:szCs w:val="32"/>
        </w:rPr>
        <w:t>.7</w:t>
      </w:r>
      <w:r>
        <w:rPr>
          <w:rFonts w:hint="eastAsia" w:eastAsia="方正楷体_GBK"/>
          <w:szCs w:val="32"/>
        </w:rPr>
        <w:t>培育繁荣生态文化，打造九龙民俗文化体验园</w:t>
      </w:r>
      <w:bookmarkEnd w:id="68"/>
    </w:p>
    <w:p>
      <w:pPr>
        <w:ind w:firstLine="634" w:firstLineChars="200"/>
        <w:outlineLvl w:val="2"/>
        <w:rPr>
          <w:szCs w:val="32"/>
        </w:rPr>
      </w:pPr>
      <w:bookmarkStart w:id="69" w:name="_Toc106638445"/>
      <w:r>
        <w:rPr>
          <w:rFonts w:hint="eastAsia"/>
          <w:szCs w:val="32"/>
        </w:rPr>
        <w:t>4.</w:t>
      </w:r>
      <w:r>
        <w:rPr>
          <w:szCs w:val="32"/>
        </w:rPr>
        <w:t>7</w:t>
      </w:r>
      <w:r>
        <w:rPr>
          <w:rFonts w:hint="eastAsia"/>
          <w:szCs w:val="32"/>
        </w:rPr>
        <w:t>.1弘扬特色民俗文化，推进生态示范创建</w:t>
      </w:r>
      <w:bookmarkEnd w:id="69"/>
    </w:p>
    <w:p>
      <w:pPr>
        <w:ind w:firstLine="634" w:firstLineChars="200"/>
        <w:rPr>
          <w:szCs w:val="32"/>
        </w:rPr>
      </w:pPr>
      <w:r>
        <w:rPr>
          <w:rFonts w:hint="eastAsia"/>
          <w:b/>
          <w:szCs w:val="32"/>
        </w:rPr>
        <w:t>弘扬特色民俗文化。</w:t>
      </w:r>
      <w:r>
        <w:rPr>
          <w:rFonts w:hint="eastAsia"/>
          <w:szCs w:val="32"/>
        </w:rPr>
        <w:t>大力保护挖掘发展具有金龙特色的生态文化，讲好九龙朝拜、金龙奇山、金龙奇石、金龙名人等故事。加强非物质文化遗产保护传承，积极培养传统食品、永川白酒酿制等非遗项目传承人。挖掘“九龙传说”生态文化内涵，学习先民与自然山水和谐共存的精神内核。加强金龙镇九龙河为代表的独特山水资源保护和传统文化资源的保护和利用，不断丰富银月湖民俗文化村内涵，推动旅游与生态文化创意深度融合，提升生态文化景点的影响力，促进生态文化多元化发展。</w:t>
      </w:r>
    </w:p>
    <w:p>
      <w:pPr>
        <w:ind w:firstLine="634" w:firstLineChars="200"/>
        <w:rPr>
          <w:szCs w:val="32"/>
        </w:rPr>
      </w:pPr>
      <w:r>
        <w:rPr>
          <w:rFonts w:hint="eastAsia"/>
          <w:b/>
          <w:szCs w:val="32"/>
        </w:rPr>
        <w:t>丰富地方文化生活。</w:t>
      </w:r>
      <w:r>
        <w:rPr>
          <w:rFonts w:hint="eastAsia"/>
          <w:szCs w:val="32"/>
        </w:rPr>
        <w:t>举办丰富多彩、形式多样的群众文化体育活动，开展“一村一品”文化主题活动，开展社区健身操展演、金鼎村老体协趣味运动会、解放村传统民俗包粽子、洞子口村传统民俗剪纸、金龙村传统民俗打糍粑等民俗活动，努力发掘和创建优秀文化项目，丰富地方文化。积极倡导健康向上的新型文化，加强文化基础设施建设，加快建设金龙镇</w:t>
      </w:r>
      <w:r>
        <w:rPr>
          <w:szCs w:val="32"/>
        </w:rPr>
        <w:t>乡情馆</w:t>
      </w:r>
      <w:r>
        <w:rPr>
          <w:rFonts w:hint="eastAsia"/>
          <w:szCs w:val="32"/>
        </w:rPr>
        <w:t>，推动7个村乡情馆建设，配备必要的体育、文化设施。开展广场舞、阅读推广、戏曲进乡村、“村晚”及乡村文化展览展示等文化活动，丰富金龙群众的文化生活。</w:t>
      </w:r>
    </w:p>
    <w:p>
      <w:pPr>
        <w:ind w:firstLine="634" w:firstLineChars="200"/>
        <w:rPr>
          <w:szCs w:val="32"/>
        </w:rPr>
      </w:pPr>
      <w:r>
        <w:rPr>
          <w:rFonts w:hint="eastAsia"/>
          <w:b/>
          <w:szCs w:val="32"/>
        </w:rPr>
        <w:t>开展生态文明细胞建设。</w:t>
      </w:r>
      <w:r>
        <w:rPr>
          <w:rFonts w:hint="eastAsia"/>
          <w:szCs w:val="32"/>
        </w:rPr>
        <w:t>倡导居民“待人和善、家庭和乐、邻里和睦、社区和谐，建设和美乡村”，积极创建“四和一美”示范院落。以“净化、绿化、美化”为标准，开展“清洁示范院落”建设工作。激发群众主动共创共享美好人居环境的内生动力，培育1</w:t>
      </w:r>
      <w:r>
        <w:rPr>
          <w:szCs w:val="32"/>
        </w:rPr>
        <w:t>000</w:t>
      </w:r>
      <w:r>
        <w:rPr>
          <w:rFonts w:hint="eastAsia"/>
          <w:szCs w:val="32"/>
        </w:rPr>
        <w:t>户“洁美示范户”。积极开展环境友好型社区、绿色学校、绿色商铺、绿色家庭、卫生家庭、生态文明示范企业、扬尘控制示范道路、生态文明交通运输示范单位创建活动。深化志愿者、新乡贤队伍建设，常态化开展志愿者活动，发挥新乡贤引领作用，弘扬社会主义核心价值观。</w:t>
      </w:r>
    </w:p>
    <w:p>
      <w:pPr>
        <w:ind w:firstLine="634" w:firstLineChars="200"/>
        <w:outlineLvl w:val="2"/>
        <w:rPr>
          <w:rFonts w:hint="eastAsia"/>
          <w:szCs w:val="32"/>
        </w:rPr>
      </w:pPr>
      <w:bookmarkStart w:id="70" w:name="_Toc106638446"/>
      <w:r>
        <w:rPr>
          <w:rFonts w:hint="eastAsia"/>
          <w:szCs w:val="32"/>
        </w:rPr>
        <w:t>4</w:t>
      </w:r>
      <w:r>
        <w:rPr>
          <w:szCs w:val="32"/>
        </w:rPr>
        <w:t>.7.2</w:t>
      </w:r>
      <w:r>
        <w:rPr>
          <w:rFonts w:hint="eastAsia"/>
          <w:szCs w:val="32"/>
        </w:rPr>
        <w:t>培育生态文明意识，倡导生态文明行为</w:t>
      </w:r>
      <w:bookmarkEnd w:id="70"/>
    </w:p>
    <w:p>
      <w:pPr>
        <w:ind w:firstLine="634" w:firstLineChars="200"/>
        <w:rPr>
          <w:szCs w:val="32"/>
        </w:rPr>
      </w:pPr>
      <w:r>
        <w:rPr>
          <w:rFonts w:hint="eastAsia"/>
          <w:b/>
          <w:szCs w:val="32"/>
        </w:rPr>
        <w:t>加强生态文明宣传教育。</w:t>
      </w:r>
      <w:r>
        <w:rPr>
          <w:rFonts w:hint="eastAsia"/>
          <w:szCs w:val="32"/>
        </w:rPr>
        <w:t>将生态文明知识作为素质教育和学习实践科学发展观的重要内容，纳入学校教育体系，列入镇领导干部和党员教育培训的基本内容。通过发放资料、悬挂横幅、投放广告、网络平台视频、微信推文等形式，广泛宣传生态文明理念，发布生态文明建设成果以及环境质量信息等内容。推进生态文明理念向全社会传播，通过举办“六·五”世界环境日、“重庆野生动物保护宣传月”等生态文明宣传活动，向各村（社区）发放生态文明手册等多种生态文明宣传措施，讲解生态种植、生态养殖等知识，提高群众生态文明意识。</w:t>
      </w:r>
    </w:p>
    <w:p>
      <w:pPr>
        <w:ind w:firstLine="634" w:firstLineChars="200"/>
        <w:rPr>
          <w:szCs w:val="32"/>
        </w:rPr>
      </w:pPr>
      <w:r>
        <w:rPr>
          <w:rFonts w:hint="eastAsia"/>
          <w:b/>
          <w:szCs w:val="32"/>
        </w:rPr>
        <w:t>倡导绿色生活。</w:t>
      </w:r>
      <w:r>
        <w:rPr>
          <w:rFonts w:hint="eastAsia"/>
          <w:szCs w:val="32"/>
        </w:rPr>
        <w:t>抓好党政机关、事业单位等公共机构在全过程节约管理中的表率作用，提高能源、水、办公设备、办公用品等利用效率和效益，抵制和反对各种形式的奢侈浪费</w:t>
      </w:r>
      <w:r>
        <w:rPr>
          <w:szCs w:val="32"/>
        </w:rPr>
        <w:t>。</w:t>
      </w:r>
      <w:r>
        <w:rPr>
          <w:rFonts w:hint="eastAsia"/>
          <w:szCs w:val="32"/>
        </w:rPr>
        <w:t>推动个人和家庭践行低碳绿色生活理念，倡导适度消费，力戒过度消费，形成“资源有价、污染付费”的消费预期。倡导居民购买节能环保低碳商品，限制一次性用品的使用，限制过度包装。进一步推进餐桌文明行动，大力推广文明餐饮消费习惯。推广绿色居住，</w:t>
      </w:r>
      <w:r>
        <w:rPr>
          <w:szCs w:val="32"/>
        </w:rPr>
        <w:t>鼓励居民购买高效照明产品、高效节能电机等节能环保低碳商品。</w:t>
      </w:r>
      <w:r>
        <w:rPr>
          <w:rFonts w:hint="eastAsia"/>
          <w:szCs w:val="32"/>
        </w:rPr>
        <w:t>推广使用新能源汽车，推进交通绿色化。</w:t>
      </w:r>
    </w:p>
    <w:p>
      <w:pPr>
        <w:ind w:firstLine="634" w:firstLineChars="200"/>
        <w:rPr>
          <w:szCs w:val="32"/>
        </w:rPr>
      </w:pPr>
      <w:r>
        <w:rPr>
          <w:rFonts w:hint="eastAsia"/>
          <w:b/>
          <w:szCs w:val="32"/>
        </w:rPr>
        <w:t>推行绿色采购。</w:t>
      </w:r>
      <w:r>
        <w:rPr>
          <w:rFonts w:hint="eastAsia"/>
          <w:szCs w:val="32"/>
        </w:rPr>
        <w:t>综合运用财税、市场和法律手段，鼓励支持企业实行产品绿色设计、绿色制造和绿色包装，鼓励使用绿色材料，规范绿色产品生产。推行政府绿色采购制度，调整完善政府绿色采购清单，提升绿色采购在政府采购中的比重。鼓励非政府机构、企业实行绿色采购，打造绿色商品供应链，建设绿色流通服务体系。定期公布无公害标志食品等绿色标识产品目录，出台激励政策，引导公众优先采购绿色标识产品。</w:t>
      </w:r>
    </w:p>
    <w:p>
      <w:pPr>
        <w:ind w:firstLine="634" w:firstLineChars="200"/>
        <w:outlineLvl w:val="2"/>
        <w:rPr>
          <w:szCs w:val="32"/>
        </w:rPr>
      </w:pPr>
      <w:bookmarkStart w:id="71" w:name="_Toc106638447"/>
      <w:r>
        <w:rPr>
          <w:szCs w:val="32"/>
        </w:rPr>
        <w:t>4.7.3</w:t>
      </w:r>
      <w:r>
        <w:rPr>
          <w:rFonts w:hint="eastAsia"/>
          <w:szCs w:val="32"/>
        </w:rPr>
        <w:t>健全政府引导制度，完善</w:t>
      </w:r>
      <w:r>
        <w:rPr>
          <w:szCs w:val="32"/>
        </w:rPr>
        <w:t>乡规民约</w:t>
      </w:r>
      <w:bookmarkEnd w:id="71"/>
    </w:p>
    <w:p>
      <w:pPr>
        <w:ind w:firstLine="634" w:firstLineChars="200"/>
        <w:rPr>
          <w:szCs w:val="32"/>
        </w:rPr>
      </w:pPr>
      <w:r>
        <w:rPr>
          <w:rFonts w:hint="eastAsia"/>
          <w:b/>
          <w:szCs w:val="32"/>
        </w:rPr>
        <w:t>建立完善农村公共服务体系。</w:t>
      </w:r>
      <w:r>
        <w:rPr>
          <w:rFonts w:hint="eastAsia"/>
          <w:szCs w:val="32"/>
        </w:rPr>
        <w:t>强调转变职能，充分发挥政府在农村公共服务体系建设中的主导作用；积极改革创新，积极探索农村公共服务多元化的投入机制；严格强化监督，切实加强农村公共服务资金、项目的绩效管理。</w:t>
      </w:r>
    </w:p>
    <w:p>
      <w:pPr>
        <w:ind w:firstLine="634" w:firstLineChars="200"/>
        <w:rPr>
          <w:szCs w:val="32"/>
        </w:rPr>
      </w:pPr>
      <w:r>
        <w:rPr>
          <w:rFonts w:hint="eastAsia"/>
          <w:b/>
          <w:szCs w:val="32"/>
        </w:rPr>
        <w:t>完善村规民约管理规定。</w:t>
      </w:r>
      <w:r>
        <w:rPr>
          <w:rFonts w:hint="eastAsia"/>
          <w:szCs w:val="32"/>
        </w:rPr>
        <w:t>督促各</w:t>
      </w:r>
      <w:r>
        <w:rPr>
          <w:rFonts w:hint="eastAsia"/>
          <w:color w:val="auto"/>
          <w:szCs w:val="32"/>
        </w:rPr>
        <w:t>行政村</w:t>
      </w:r>
      <w:r>
        <w:rPr>
          <w:rFonts w:hint="eastAsia"/>
          <w:szCs w:val="32"/>
        </w:rPr>
        <w:t>（社区）不断按照生态文明建设的最新要求，持续完善各</w:t>
      </w:r>
      <w:r>
        <w:rPr>
          <w:rFonts w:hint="eastAsia"/>
          <w:color w:val="auto"/>
          <w:szCs w:val="32"/>
        </w:rPr>
        <w:t>行政村</w:t>
      </w:r>
      <w:r>
        <w:rPr>
          <w:rFonts w:hint="eastAsia"/>
          <w:szCs w:val="32"/>
        </w:rPr>
        <w:t>（社区）的“村规民约”，探讨将生活垃圾分类要求等纳入村规民约，保证生态文明建设按照最新要求执行，强化广大民众的生态文明</w:t>
      </w:r>
      <w:r>
        <w:rPr>
          <w:rFonts w:hint="eastAsia"/>
          <w:color w:val="auto"/>
          <w:szCs w:val="32"/>
        </w:rPr>
        <w:t>法</w:t>
      </w:r>
      <w:r>
        <w:rPr>
          <w:rFonts w:hint="eastAsia"/>
          <w:color w:val="auto"/>
          <w:szCs w:val="32"/>
          <w:lang w:eastAsia="zh-CN"/>
        </w:rPr>
        <w:t>治</w:t>
      </w:r>
      <w:r>
        <w:rPr>
          <w:rFonts w:hint="eastAsia"/>
          <w:color w:val="auto"/>
          <w:szCs w:val="32"/>
        </w:rPr>
        <w:t>观念</w:t>
      </w:r>
      <w:r>
        <w:rPr>
          <w:rFonts w:hint="eastAsia"/>
          <w:szCs w:val="32"/>
        </w:rPr>
        <w:t>和道德素质。执行乡规民约要充分协调</w:t>
      </w:r>
      <w:r>
        <w:rPr>
          <w:rFonts w:hint="eastAsia"/>
          <w:color w:val="000000"/>
          <w:szCs w:val="32"/>
        </w:rPr>
        <w:t>地方</w:t>
      </w:r>
      <w:r>
        <w:rPr>
          <w:rFonts w:hint="eastAsia"/>
          <w:color w:val="000000"/>
          <w:szCs w:val="32"/>
          <w:lang w:eastAsia="zh-CN"/>
        </w:rPr>
        <w:t>性</w:t>
      </w:r>
      <w:r>
        <w:rPr>
          <w:rFonts w:hint="eastAsia"/>
          <w:color w:val="000000"/>
          <w:szCs w:val="32"/>
        </w:rPr>
        <w:t>法规</w:t>
      </w:r>
      <w:r>
        <w:rPr>
          <w:rFonts w:hint="eastAsia"/>
          <w:szCs w:val="32"/>
        </w:rPr>
        <w:t>，遵循规范性、民主性、实用性、时代性、合理性、现代性，引导民众讨论，从点滴中不断改正生活陋习。实施对乡规民约审查备案，并建立定期检查制度，坚决纠正不合理的规定和行为；政府组织相关专业人员对各</w:t>
      </w:r>
      <w:r>
        <w:rPr>
          <w:rFonts w:hint="eastAsia"/>
          <w:color w:val="auto"/>
          <w:szCs w:val="32"/>
        </w:rPr>
        <w:t>行政村</w:t>
      </w:r>
      <w:r>
        <w:rPr>
          <w:rFonts w:hint="eastAsia"/>
          <w:szCs w:val="32"/>
        </w:rPr>
        <w:t>（社区）的村规民约的修订和制定进行指导，保证村规民约的合法合理性。</w:t>
      </w:r>
    </w:p>
    <w:p>
      <w:pPr>
        <w:ind w:firstLine="634" w:firstLineChars="200"/>
        <w:rPr>
          <w:rFonts w:hint="eastAsia"/>
          <w:szCs w:val="32"/>
        </w:rPr>
      </w:pPr>
    </w:p>
    <w:p>
      <w:pPr>
        <w:ind w:firstLine="634" w:firstLineChars="200"/>
        <w:jc w:val="left"/>
        <w:outlineLvl w:val="0"/>
        <w:rPr>
          <w:rFonts w:hint="eastAsia" w:eastAsia="方正黑体_GBK"/>
          <w:szCs w:val="32"/>
        </w:rPr>
      </w:pPr>
      <w:bookmarkStart w:id="72" w:name="_Toc106638448"/>
      <w:r>
        <w:rPr>
          <w:rFonts w:hint="eastAsia" w:eastAsia="方正黑体_GBK"/>
          <w:szCs w:val="32"/>
        </w:rPr>
        <w:t>5实施一批重点工程</w:t>
      </w:r>
      <w:bookmarkEnd w:id="72"/>
    </w:p>
    <w:p>
      <w:pPr>
        <w:ind w:firstLine="634" w:firstLineChars="200"/>
        <w:jc w:val="left"/>
        <w:outlineLvl w:val="1"/>
        <w:rPr>
          <w:rFonts w:eastAsia="方正楷体_GBK"/>
          <w:szCs w:val="32"/>
        </w:rPr>
      </w:pPr>
      <w:bookmarkStart w:id="73" w:name="_Toc106638449"/>
      <w:r>
        <w:rPr>
          <w:rFonts w:hint="eastAsia" w:eastAsia="方正楷体_GBK"/>
          <w:szCs w:val="32"/>
        </w:rPr>
        <w:t>5</w:t>
      </w:r>
      <w:r>
        <w:rPr>
          <w:rFonts w:eastAsia="方正楷体_GBK"/>
          <w:szCs w:val="32"/>
        </w:rPr>
        <w:t>.1</w:t>
      </w:r>
      <w:r>
        <w:rPr>
          <w:rFonts w:hint="eastAsia" w:eastAsia="方正楷体_GBK"/>
          <w:szCs w:val="32"/>
        </w:rPr>
        <w:t>重点工程</w:t>
      </w:r>
      <w:bookmarkEnd w:id="73"/>
    </w:p>
    <w:p>
      <w:pPr>
        <w:ind w:firstLine="634" w:firstLineChars="200"/>
        <w:rPr>
          <w:rFonts w:hint="eastAsia"/>
          <w:szCs w:val="32"/>
        </w:rPr>
      </w:pPr>
      <w:r>
        <w:rPr>
          <w:rFonts w:hint="eastAsia"/>
          <w:szCs w:val="32"/>
        </w:rPr>
        <w:t>围绕金龙镇生态文明建设示范镇创建的目标、任务和重点领域，实施生态经济与绿色发展工程、生态环境质量提升工程、生态空间保护工程、农村人居环境质量提升工程、生态文明与社会行动体系工程等五大类15个项目，预计总投资约</w:t>
      </w:r>
      <w:r>
        <w:rPr>
          <w:szCs w:val="32"/>
        </w:rPr>
        <w:t>425</w:t>
      </w:r>
      <w:r>
        <w:rPr>
          <w:rFonts w:hint="eastAsia"/>
          <w:szCs w:val="32"/>
        </w:rPr>
        <w:t>0万元。</w:t>
      </w:r>
    </w:p>
    <w:p>
      <w:pPr>
        <w:ind w:firstLine="634" w:firstLineChars="200"/>
        <w:rPr>
          <w:szCs w:val="32"/>
        </w:rPr>
      </w:pPr>
      <w:r>
        <w:rPr>
          <w:rFonts w:hint="eastAsia"/>
          <w:szCs w:val="32"/>
        </w:rPr>
        <w:t>生态经济与绿色发展工程。主要包括九龙河市级现代农业园区建设、有机、绿色农产品基地建设等5个项目，资金投入为</w:t>
      </w:r>
      <w:r>
        <w:rPr>
          <w:szCs w:val="32"/>
        </w:rPr>
        <w:t>270</w:t>
      </w:r>
      <w:r>
        <w:rPr>
          <w:rFonts w:hint="eastAsia"/>
          <w:szCs w:val="32"/>
        </w:rPr>
        <w:t>0万元，占总投资比例的</w:t>
      </w:r>
      <w:r>
        <w:rPr>
          <w:szCs w:val="32"/>
        </w:rPr>
        <w:t>63.5</w:t>
      </w:r>
      <w:r>
        <w:rPr>
          <w:rFonts w:hint="eastAsia"/>
          <w:szCs w:val="32"/>
        </w:rPr>
        <w:t>%。</w:t>
      </w:r>
    </w:p>
    <w:p>
      <w:pPr>
        <w:ind w:firstLine="634" w:firstLineChars="200"/>
        <w:rPr>
          <w:rFonts w:hint="eastAsia"/>
          <w:szCs w:val="32"/>
        </w:rPr>
      </w:pPr>
      <w:r>
        <w:rPr>
          <w:rFonts w:hint="eastAsia"/>
          <w:szCs w:val="32"/>
        </w:rPr>
        <w:t>生态环境质量提升工程。主要包括九龙河河道治理、农村水源地保护工程等</w:t>
      </w:r>
      <w:r>
        <w:rPr>
          <w:szCs w:val="32"/>
        </w:rPr>
        <w:t>4</w:t>
      </w:r>
      <w:r>
        <w:rPr>
          <w:rFonts w:hint="eastAsia"/>
          <w:szCs w:val="32"/>
        </w:rPr>
        <w:t>个项目，资金投入为700万元，占总投资比例的</w:t>
      </w:r>
      <w:r>
        <w:rPr>
          <w:szCs w:val="32"/>
        </w:rPr>
        <w:t>16.5</w:t>
      </w:r>
      <w:r>
        <w:rPr>
          <w:rFonts w:hint="eastAsia"/>
          <w:szCs w:val="32"/>
        </w:rPr>
        <w:t>%。</w:t>
      </w:r>
    </w:p>
    <w:p>
      <w:pPr>
        <w:ind w:firstLine="634" w:firstLineChars="200"/>
        <w:rPr>
          <w:rFonts w:hint="eastAsia"/>
          <w:szCs w:val="32"/>
        </w:rPr>
      </w:pPr>
      <w:r>
        <w:rPr>
          <w:rFonts w:hint="eastAsia"/>
          <w:szCs w:val="32"/>
        </w:rPr>
        <w:t>生态空间保护工程。包括森林生态系统保护、造林绿化工程2个项目，资金投入为</w:t>
      </w:r>
      <w:r>
        <w:rPr>
          <w:szCs w:val="32"/>
        </w:rPr>
        <w:t>300</w:t>
      </w:r>
      <w:r>
        <w:rPr>
          <w:rFonts w:hint="eastAsia"/>
          <w:szCs w:val="32"/>
        </w:rPr>
        <w:t>万元，占总投资比例的</w:t>
      </w:r>
      <w:r>
        <w:rPr>
          <w:szCs w:val="32"/>
        </w:rPr>
        <w:t>7.1</w:t>
      </w:r>
      <w:r>
        <w:rPr>
          <w:rFonts w:hint="eastAsia"/>
          <w:szCs w:val="32"/>
        </w:rPr>
        <w:t>%。</w:t>
      </w:r>
    </w:p>
    <w:p>
      <w:pPr>
        <w:ind w:firstLine="634" w:firstLineChars="200"/>
        <w:rPr>
          <w:szCs w:val="32"/>
        </w:rPr>
      </w:pPr>
      <w:r>
        <w:rPr>
          <w:rFonts w:hint="eastAsia"/>
          <w:szCs w:val="32"/>
        </w:rPr>
        <w:t>农村人居环境质量提升工程。包括生活垃圾分类示范村建设、农村生活污水处理2个项目，资金投入为</w:t>
      </w:r>
      <w:r>
        <w:rPr>
          <w:szCs w:val="32"/>
        </w:rPr>
        <w:t>440</w:t>
      </w:r>
      <w:r>
        <w:rPr>
          <w:rFonts w:hint="eastAsia"/>
          <w:szCs w:val="32"/>
        </w:rPr>
        <w:t>万元，占总投资比例的</w:t>
      </w:r>
      <w:r>
        <w:rPr>
          <w:szCs w:val="32"/>
        </w:rPr>
        <w:t>10.3</w:t>
      </w:r>
      <w:r>
        <w:rPr>
          <w:rFonts w:hint="eastAsia"/>
          <w:szCs w:val="32"/>
        </w:rPr>
        <w:t>%。</w:t>
      </w:r>
    </w:p>
    <w:p>
      <w:pPr>
        <w:ind w:firstLine="634" w:firstLineChars="200"/>
        <w:rPr>
          <w:szCs w:val="32"/>
        </w:rPr>
      </w:pPr>
      <w:r>
        <w:rPr>
          <w:rFonts w:hint="eastAsia"/>
          <w:szCs w:val="32"/>
        </w:rPr>
        <w:t>生态文明与社会行动体系工程。包括生态文明宣传教育、群众性生态文明示范创建2个项目，资金投入为</w:t>
      </w:r>
      <w:r>
        <w:rPr>
          <w:szCs w:val="32"/>
        </w:rPr>
        <w:t>110</w:t>
      </w:r>
      <w:r>
        <w:rPr>
          <w:rFonts w:hint="eastAsia"/>
          <w:szCs w:val="32"/>
        </w:rPr>
        <w:t>万元，占总投资比例的</w:t>
      </w:r>
      <w:r>
        <w:rPr>
          <w:szCs w:val="32"/>
        </w:rPr>
        <w:t>2.6</w:t>
      </w:r>
      <w:r>
        <w:rPr>
          <w:rFonts w:hint="eastAsia"/>
          <w:szCs w:val="32"/>
        </w:rPr>
        <w:t>%。</w:t>
      </w:r>
    </w:p>
    <w:p>
      <w:pPr>
        <w:ind w:firstLine="634" w:firstLineChars="200"/>
        <w:rPr>
          <w:rFonts w:hint="eastAsia"/>
          <w:szCs w:val="32"/>
        </w:rPr>
      </w:pPr>
    </w:p>
    <w:p>
      <w:pPr>
        <w:ind w:firstLine="634" w:firstLineChars="200"/>
        <w:jc w:val="left"/>
        <w:outlineLvl w:val="1"/>
        <w:rPr>
          <w:rFonts w:hint="eastAsia" w:eastAsia="方正楷体_GBK"/>
          <w:szCs w:val="32"/>
        </w:rPr>
      </w:pPr>
      <w:bookmarkStart w:id="74" w:name="_Toc106638450"/>
      <w:r>
        <w:rPr>
          <w:rFonts w:hint="eastAsia" w:eastAsia="方正楷体_GBK"/>
          <w:szCs w:val="32"/>
        </w:rPr>
        <w:t>5</w:t>
      </w:r>
      <w:r>
        <w:rPr>
          <w:rFonts w:eastAsia="方正楷体_GBK"/>
          <w:szCs w:val="32"/>
        </w:rPr>
        <w:t>.2</w:t>
      </w:r>
      <w:r>
        <w:rPr>
          <w:rFonts w:hint="eastAsia" w:eastAsia="方正楷体_GBK"/>
          <w:szCs w:val="32"/>
        </w:rPr>
        <w:t>资金筹措</w:t>
      </w:r>
      <w:bookmarkEnd w:id="74"/>
    </w:p>
    <w:p>
      <w:pPr>
        <w:ind w:firstLine="634" w:firstLineChars="200"/>
        <w:rPr>
          <w:rFonts w:hint="eastAsia"/>
          <w:szCs w:val="32"/>
        </w:rPr>
      </w:pPr>
      <w:r>
        <w:rPr>
          <w:rFonts w:hint="eastAsia"/>
          <w:szCs w:val="32"/>
        </w:rPr>
        <w:t>生态文明建设资金按照“谁受益，谁投资”以及是否具有公共属性等原则，筹措金龙镇生态文明建设示范镇创建重点工程项目的资金。对于直接受益的项目，项目的经费筹集应以受益主体为主，通过自筹、贷款和市场融资等渠道筹措资金。对于能通过收费等形式收回成本和获得收益的公共项目，如污水处理、垃圾处理设施、道路交通等，鼓励通过PPP等形式筹措资金。对于不能通过收费等形式直接收回投资的公共项目，以财政拨款、地方自筹、申请上级政府拨款、银行贷款为主。</w:t>
      </w:r>
    </w:p>
    <w:p>
      <w:pPr>
        <w:ind w:firstLine="634" w:firstLineChars="200"/>
        <w:rPr>
          <w:szCs w:val="32"/>
        </w:rPr>
      </w:pPr>
      <w:r>
        <w:rPr>
          <w:rFonts w:hint="eastAsia"/>
          <w:szCs w:val="32"/>
        </w:rPr>
        <w:t>利用市场机制优化资源配置，落实资源能源节约和生态环保税收优惠政策，实施土地、矿产等资源有偿使用制度，执行矿山环境治理和生态恢复保证金制度，完善居民生活用电、用水、用气阶梯价格政策，探索民间资本和社会力量投入生态文明建设的多元化投资机制。</w:t>
      </w:r>
    </w:p>
    <w:p>
      <w:pPr>
        <w:ind w:firstLine="634" w:firstLineChars="200"/>
        <w:rPr>
          <w:rFonts w:hint="eastAsia"/>
          <w:szCs w:val="32"/>
        </w:rPr>
      </w:pPr>
    </w:p>
    <w:p>
      <w:pPr>
        <w:ind w:firstLine="634" w:firstLineChars="200"/>
        <w:jc w:val="left"/>
        <w:outlineLvl w:val="0"/>
        <w:rPr>
          <w:rFonts w:hint="eastAsia" w:eastAsia="方正黑体_GBK"/>
          <w:szCs w:val="32"/>
        </w:rPr>
      </w:pPr>
      <w:bookmarkStart w:id="75" w:name="_Toc106638451"/>
      <w:r>
        <w:rPr>
          <w:rFonts w:hint="eastAsia" w:eastAsia="方正黑体_GBK"/>
          <w:szCs w:val="32"/>
        </w:rPr>
        <w:t>6效益分析</w:t>
      </w:r>
      <w:bookmarkEnd w:id="75"/>
    </w:p>
    <w:p>
      <w:pPr>
        <w:ind w:firstLine="634" w:firstLineChars="200"/>
        <w:jc w:val="left"/>
        <w:outlineLvl w:val="1"/>
        <w:rPr>
          <w:rFonts w:hint="eastAsia" w:eastAsia="方正楷体_GBK"/>
          <w:szCs w:val="32"/>
        </w:rPr>
      </w:pPr>
      <w:bookmarkStart w:id="76" w:name="_Toc106638452"/>
      <w:r>
        <w:rPr>
          <w:rFonts w:hint="eastAsia" w:eastAsia="方正楷体_GBK"/>
          <w:szCs w:val="32"/>
        </w:rPr>
        <w:t>6</w:t>
      </w:r>
      <w:r>
        <w:rPr>
          <w:rFonts w:eastAsia="方正楷体_GBK"/>
          <w:szCs w:val="32"/>
        </w:rPr>
        <w:t>.1</w:t>
      </w:r>
      <w:r>
        <w:rPr>
          <w:rFonts w:hint="eastAsia" w:eastAsia="方正楷体_GBK"/>
          <w:szCs w:val="32"/>
        </w:rPr>
        <w:t>环境效益</w:t>
      </w:r>
      <w:bookmarkEnd w:id="76"/>
    </w:p>
    <w:p>
      <w:pPr>
        <w:ind w:firstLine="634" w:firstLineChars="200"/>
        <w:rPr>
          <w:szCs w:val="32"/>
        </w:rPr>
      </w:pPr>
      <w:r>
        <w:rPr>
          <w:rFonts w:hint="eastAsia"/>
          <w:szCs w:val="32"/>
        </w:rPr>
        <w:t>通过生态文明建设示范镇创建任务的深入推进，金龙镇大气、水、噪声、土壤等环境质量持续改善，垃圾分类示范效应显现，生活垃圾收运系统逐渐完善，生活污水收集处理率进一步提高，化肥、农药使用量逐年降低，畜禽养殖污染强化还田利用得到削减，农村饮用水源得到有效保护，生态环境安全得到有效保障，生态制度逐步完善，生态文化日益繁荣，逐渐达到生态文明建设示范镇创建标准和要求。</w:t>
      </w:r>
    </w:p>
    <w:p>
      <w:pPr>
        <w:ind w:firstLine="634" w:firstLineChars="200"/>
        <w:jc w:val="left"/>
        <w:outlineLvl w:val="1"/>
        <w:rPr>
          <w:rFonts w:hint="eastAsia" w:eastAsia="方正楷体_GBK"/>
          <w:szCs w:val="32"/>
        </w:rPr>
      </w:pPr>
      <w:bookmarkStart w:id="77" w:name="_Toc106638453"/>
      <w:r>
        <w:rPr>
          <w:rFonts w:hint="eastAsia" w:eastAsia="方正楷体_GBK"/>
          <w:szCs w:val="32"/>
        </w:rPr>
        <w:t>6</w:t>
      </w:r>
      <w:r>
        <w:rPr>
          <w:rFonts w:eastAsia="方正楷体_GBK"/>
          <w:szCs w:val="32"/>
        </w:rPr>
        <w:t>.2</w:t>
      </w:r>
      <w:r>
        <w:rPr>
          <w:rFonts w:hint="eastAsia" w:eastAsia="方正楷体_GBK"/>
          <w:szCs w:val="32"/>
        </w:rPr>
        <w:t>经济效益</w:t>
      </w:r>
      <w:bookmarkEnd w:id="77"/>
    </w:p>
    <w:p>
      <w:pPr>
        <w:ind w:firstLine="634" w:firstLineChars="200"/>
        <w:rPr>
          <w:szCs w:val="32"/>
        </w:rPr>
      </w:pPr>
      <w:r>
        <w:rPr>
          <w:rFonts w:hint="eastAsia"/>
          <w:szCs w:val="32"/>
        </w:rPr>
        <w:t>生态文明示范镇的建成将显著提升金龙镇城镇形象，优良的自然环境和完善的生态环境基础设施将改善投资环境，吸引更多的企业前来投资，吸引更多的人来金龙镇休闲度假，带来较高的直接收益，践行“绿水青山就是金山银山”。镇区生态环境质量的改善使景观价值明显提升，增加镇域游客量，带动宾馆、饭店、农家乐、生态旅游的发展，消费旺盛，全镇的收益将显著增加。农业产业结构调整、九龙河市级生态农业园区建设，促进绿色经济和循环经济的发展，传统农业转向生态化、绿色化、有机化、规模化发展，特色农产品市场竞争力明显增强，市场占有率不断提升；同时观光农业、乡村旅游的长足发展，特色效益农业产业链不断延伸，带来收入农民收入大幅度提高，生活条件不断改善。不断加大对河流水环境质量的保护，水资源利用率和利用效率进一步提升，水资源也将得到增值。通过生态文明建设示范镇创建，将为金龙镇营造良好的投资环境和生态人居环境，进一步推动生态产业加快发展，对经济发展产生长远的影响。</w:t>
      </w:r>
    </w:p>
    <w:p>
      <w:pPr>
        <w:ind w:firstLine="634" w:firstLineChars="200"/>
        <w:jc w:val="left"/>
        <w:outlineLvl w:val="1"/>
        <w:rPr>
          <w:rFonts w:hint="eastAsia" w:eastAsia="方正楷体_GBK"/>
          <w:szCs w:val="32"/>
        </w:rPr>
      </w:pPr>
      <w:bookmarkStart w:id="78" w:name="_Toc106638454"/>
      <w:r>
        <w:rPr>
          <w:rFonts w:hint="eastAsia" w:eastAsia="方正楷体_GBK"/>
          <w:szCs w:val="32"/>
        </w:rPr>
        <w:t>6</w:t>
      </w:r>
      <w:r>
        <w:rPr>
          <w:rFonts w:eastAsia="方正楷体_GBK"/>
          <w:szCs w:val="32"/>
        </w:rPr>
        <w:t>.3</w:t>
      </w:r>
      <w:r>
        <w:rPr>
          <w:rFonts w:hint="eastAsia" w:eastAsia="方正楷体_GBK"/>
          <w:szCs w:val="32"/>
        </w:rPr>
        <w:t>社会效益</w:t>
      </w:r>
      <w:bookmarkEnd w:id="78"/>
    </w:p>
    <w:p>
      <w:pPr>
        <w:ind w:firstLine="634" w:firstLineChars="200"/>
        <w:rPr>
          <w:szCs w:val="32"/>
        </w:rPr>
      </w:pPr>
      <w:r>
        <w:rPr>
          <w:rFonts w:hint="eastAsia"/>
          <w:szCs w:val="32"/>
        </w:rPr>
        <w:t>生态环境的进一步优化将显著提升金龙镇农业基础和乡村休闲旅游度假的价值，生态休闲旅游业和生态农业的健康发展在为城镇提供良好的休闲度假旅游服务和优质安全的农副产品，促进了与之配套的第三产业的发展，且改造后的扶贫产业园等农业主体直接提供就业岗位，第三产业发展也提供了当地就业机会。通过生态文明示范镇的创建，减少环境污染和生态环境破坏，人居环境得到明显提升。强化了政府的管理监督作用，生态文明建设氛围日益浓厚，居民生态文明建设意识不断强化，使人与自然和谐相处的生态文化深入人心，人居环境优美，乡风文明进一步提升，居民生活方式逐步绿色化，生活幸福感增强。</w:t>
      </w:r>
    </w:p>
    <w:p>
      <w:pPr>
        <w:ind w:firstLine="634" w:firstLineChars="200"/>
        <w:jc w:val="left"/>
        <w:outlineLvl w:val="0"/>
        <w:rPr>
          <w:rFonts w:hint="eastAsia" w:eastAsia="方正黑体_GBK"/>
          <w:szCs w:val="32"/>
        </w:rPr>
      </w:pPr>
      <w:bookmarkStart w:id="79" w:name="_Toc106638455"/>
      <w:r>
        <w:rPr>
          <w:rFonts w:hint="eastAsia" w:eastAsia="方正黑体_GBK"/>
          <w:szCs w:val="32"/>
        </w:rPr>
        <w:t>7保障措施</w:t>
      </w:r>
      <w:bookmarkEnd w:id="79"/>
    </w:p>
    <w:p>
      <w:pPr>
        <w:ind w:firstLine="634" w:firstLineChars="200"/>
        <w:jc w:val="left"/>
        <w:outlineLvl w:val="1"/>
        <w:rPr>
          <w:rFonts w:eastAsia="方正楷体_GBK"/>
          <w:szCs w:val="32"/>
        </w:rPr>
      </w:pPr>
      <w:bookmarkStart w:id="80" w:name="_Toc106638456"/>
      <w:r>
        <w:rPr>
          <w:rFonts w:hint="eastAsia" w:eastAsia="方正楷体_GBK"/>
          <w:szCs w:val="32"/>
        </w:rPr>
        <w:t>7</w:t>
      </w:r>
      <w:r>
        <w:rPr>
          <w:rFonts w:eastAsia="方正楷体_GBK"/>
          <w:szCs w:val="32"/>
        </w:rPr>
        <w:t>.1</w:t>
      </w:r>
      <w:r>
        <w:rPr>
          <w:rFonts w:hint="eastAsia" w:eastAsia="方正楷体_GBK"/>
          <w:szCs w:val="32"/>
        </w:rPr>
        <w:t>强化组织领导</w:t>
      </w:r>
      <w:bookmarkEnd w:id="80"/>
    </w:p>
    <w:p>
      <w:pPr>
        <w:ind w:firstLine="634" w:firstLineChars="200"/>
        <w:rPr>
          <w:szCs w:val="32"/>
        </w:rPr>
      </w:pPr>
      <w:r>
        <w:rPr>
          <w:rFonts w:hint="eastAsia"/>
          <w:szCs w:val="32"/>
        </w:rPr>
        <w:t>建立健全生态文明建设的组织领导机制，成立金龙镇生态文明建设工作领导小组，负责生态文明建设工作的组织实施。建立和完善分工负责和统一监管的工作机制，形成镇、村（社区）分级管理，业务单位相互配合，上下联动，良性互动的推进机制，狠抓工作落实。健全环境综合整治工作机制，以区生态环境局为依托，加快镇建设环保办能力建设，加大环保工作人员的业务培训。</w:t>
      </w:r>
    </w:p>
    <w:p>
      <w:pPr>
        <w:ind w:firstLine="634" w:firstLineChars="200"/>
        <w:jc w:val="left"/>
        <w:outlineLvl w:val="1"/>
        <w:rPr>
          <w:rFonts w:hint="eastAsia" w:eastAsia="方正楷体_GBK"/>
          <w:szCs w:val="32"/>
        </w:rPr>
      </w:pPr>
      <w:bookmarkStart w:id="81" w:name="_Toc106638457"/>
      <w:r>
        <w:rPr>
          <w:rFonts w:hint="eastAsia" w:eastAsia="方正楷体_GBK"/>
          <w:szCs w:val="32"/>
        </w:rPr>
        <w:t>7</w:t>
      </w:r>
      <w:r>
        <w:rPr>
          <w:rFonts w:eastAsia="方正楷体_GBK"/>
          <w:szCs w:val="32"/>
        </w:rPr>
        <w:t>.2</w:t>
      </w:r>
      <w:r>
        <w:rPr>
          <w:rFonts w:hint="eastAsia" w:eastAsia="方正楷体_GBK"/>
          <w:szCs w:val="32"/>
        </w:rPr>
        <w:t>强化目标考核</w:t>
      </w:r>
      <w:bookmarkEnd w:id="81"/>
    </w:p>
    <w:p>
      <w:pPr>
        <w:ind w:firstLine="634" w:firstLineChars="200"/>
        <w:rPr>
          <w:szCs w:val="32"/>
        </w:rPr>
      </w:pPr>
      <w:r>
        <w:rPr>
          <w:rFonts w:hint="eastAsia"/>
          <w:szCs w:val="32"/>
        </w:rPr>
        <w:t>建立规划考核评价制度，明确目标考核对象，将环境质量、污染物减排等指标纳入评价体系，落实责任主体。制定规划任务分解落实的年度实施方案，按年度签订生态文明建设目标责任书。加强生态文明建设工作的日常督查，对检查中发现的问题进行督办，对不能完成年度目标任务的单位提前预警，并督促其采取措施完成。各单位、各村（社区）在每年年底对目标完成情况自查后形成报告报工作领导小组，工作领导小组会同有关部门组成评价考核工作组，通过现场核查和重点抽查等方式，对生态文明示范镇建设各重点规划项目统计工作及目标完成情况进行评价考核。</w:t>
      </w:r>
    </w:p>
    <w:p>
      <w:pPr>
        <w:ind w:firstLine="634" w:firstLineChars="200"/>
        <w:jc w:val="left"/>
        <w:outlineLvl w:val="1"/>
        <w:rPr>
          <w:rFonts w:eastAsia="方正楷体_GBK"/>
          <w:szCs w:val="32"/>
        </w:rPr>
      </w:pPr>
      <w:bookmarkStart w:id="82" w:name="_Toc106638458"/>
      <w:r>
        <w:rPr>
          <w:rFonts w:hint="eastAsia" w:eastAsia="方正楷体_GBK"/>
          <w:szCs w:val="32"/>
        </w:rPr>
        <w:t>7</w:t>
      </w:r>
      <w:r>
        <w:rPr>
          <w:rFonts w:eastAsia="方正楷体_GBK"/>
          <w:szCs w:val="32"/>
        </w:rPr>
        <w:t>.3</w:t>
      </w:r>
      <w:r>
        <w:rPr>
          <w:rFonts w:hint="eastAsia" w:eastAsia="方正楷体_GBK"/>
          <w:szCs w:val="32"/>
        </w:rPr>
        <w:t>完善投资机制</w:t>
      </w:r>
      <w:bookmarkEnd w:id="82"/>
    </w:p>
    <w:p>
      <w:pPr>
        <w:ind w:firstLine="634" w:firstLineChars="200"/>
        <w:rPr>
          <w:szCs w:val="32"/>
        </w:rPr>
      </w:pPr>
      <w:r>
        <w:rPr>
          <w:rFonts w:hint="eastAsia"/>
          <w:szCs w:val="32"/>
        </w:rPr>
        <w:t>将全镇规划进行的重点项目纳入市、区有关生态文明建设专项规划，争取执法能力建设资金、畜禽养殖污染治理资金、农村环保专项资金、农业综合开发资金等常年性专项资金对金龙镇给予倾斜。强化企业责任意识，按照“谁受益，谁投资”的原则，纳入规划的项目该由企业负责的，要按规划目标和进度要求，按时筹集建设资金。完善关停、搬迁、治理的补贴和激励政策，通过“以奖代补”等政策措施引导企业加大投入。</w:t>
      </w:r>
    </w:p>
    <w:p>
      <w:pPr>
        <w:ind w:firstLine="634" w:firstLineChars="200"/>
        <w:jc w:val="left"/>
        <w:outlineLvl w:val="1"/>
        <w:rPr>
          <w:rFonts w:hint="eastAsia" w:eastAsia="方正楷体_GBK"/>
          <w:szCs w:val="32"/>
        </w:rPr>
      </w:pPr>
      <w:bookmarkStart w:id="83" w:name="_Toc106638459"/>
      <w:r>
        <w:rPr>
          <w:rFonts w:hint="eastAsia" w:eastAsia="方正楷体_GBK"/>
          <w:szCs w:val="32"/>
        </w:rPr>
        <w:t>7</w:t>
      </w:r>
      <w:r>
        <w:rPr>
          <w:rFonts w:eastAsia="方正楷体_GBK"/>
          <w:szCs w:val="32"/>
        </w:rPr>
        <w:t>.4</w:t>
      </w:r>
      <w:r>
        <w:rPr>
          <w:rFonts w:hint="eastAsia" w:eastAsia="方正楷体_GBK"/>
          <w:szCs w:val="32"/>
        </w:rPr>
        <w:t>引导公众参与</w:t>
      </w:r>
      <w:bookmarkEnd w:id="83"/>
    </w:p>
    <w:p>
      <w:pPr>
        <w:ind w:firstLine="634" w:firstLineChars="200"/>
        <w:rPr>
          <w:szCs w:val="32"/>
        </w:rPr>
      </w:pPr>
      <w:r>
        <w:rPr>
          <w:rFonts w:hint="eastAsia"/>
          <w:szCs w:val="32"/>
        </w:rPr>
        <w:t>强化生态文明建设信息公开，完善基层生态文明新闻宣传平台，通过热线电话、公众信箱、宣传栏、区政府公众信息网等载体，宣传生态文明建设工作动态、最新政策和工作成效。采取多部门联动，构建起由媒体、网络、活动等多种形式构成的公众参与平台，调动社区和村民小组的积极性，引导广泛参与生态文明建设。扩大普通公民对环境问题的知情权、参与权和监督权，形成政府主导、社会团体协助、民间广泛参与的开放性组织系统。</w:t>
      </w:r>
    </w:p>
    <w:p>
      <w:pPr>
        <w:ind w:firstLine="634" w:firstLineChars="200"/>
        <w:rPr>
          <w:rFonts w:hint="eastAsia"/>
          <w:szCs w:val="32"/>
        </w:rPr>
      </w:pPr>
    </w:p>
    <w:p>
      <w:pPr>
        <w:ind w:firstLine="634" w:firstLineChars="200"/>
        <w:rPr>
          <w:szCs w:val="32"/>
        </w:rPr>
        <w:sectPr>
          <w:footerReference r:id="rId8" w:type="default"/>
          <w:footerReference r:id="rId9" w:type="even"/>
          <w:pgSz w:w="11906" w:h="16838"/>
          <w:pgMar w:top="2098" w:right="1474" w:bottom="1985" w:left="1588" w:header="851" w:footer="992" w:gutter="0"/>
          <w:pgNumType w:start="1"/>
          <w:cols w:space="720" w:num="1"/>
          <w:docGrid w:type="linesAndChars" w:linePitch="579" w:charSpace="-819"/>
        </w:sectPr>
      </w:pPr>
    </w:p>
    <w:p>
      <w:pPr>
        <w:jc w:val="left"/>
        <w:outlineLvl w:val="0"/>
        <w:rPr>
          <w:rFonts w:eastAsia="方正黑体_GBK"/>
          <w:szCs w:val="32"/>
        </w:rPr>
      </w:pPr>
      <w:bookmarkStart w:id="84" w:name="_Toc106638460"/>
      <w:r>
        <w:rPr>
          <w:rFonts w:hint="eastAsia" w:eastAsia="方正黑体_GBK"/>
          <w:szCs w:val="32"/>
        </w:rPr>
        <w:t>附表：</w:t>
      </w:r>
      <w:bookmarkEnd w:id="84"/>
    </w:p>
    <w:p>
      <w:pPr>
        <w:ind w:firstLine="634" w:firstLineChars="200"/>
        <w:jc w:val="center"/>
        <w:outlineLvl w:val="1"/>
        <w:rPr>
          <w:rFonts w:hint="eastAsia" w:eastAsia="方正楷体_GBK"/>
          <w:szCs w:val="32"/>
        </w:rPr>
      </w:pPr>
      <w:bookmarkStart w:id="85" w:name="_Toc106638461"/>
      <w:r>
        <w:rPr>
          <w:rFonts w:hint="eastAsia" w:eastAsia="方正楷体_GBK"/>
          <w:szCs w:val="32"/>
        </w:rPr>
        <w:t>附表1</w:t>
      </w:r>
      <w:r>
        <w:rPr>
          <w:rFonts w:eastAsia="方正楷体_GBK"/>
          <w:szCs w:val="32"/>
        </w:rPr>
        <w:t xml:space="preserve">  </w:t>
      </w:r>
      <w:r>
        <w:rPr>
          <w:rFonts w:hint="eastAsia" w:eastAsia="方正楷体_GBK"/>
          <w:szCs w:val="32"/>
        </w:rPr>
        <w:t>永川区金龙镇创建重庆市生态文明建设示范镇规划项目储备库</w:t>
      </w:r>
      <w:bookmarkEnd w:id="85"/>
    </w:p>
    <w:tbl>
      <w:tblPr>
        <w:tblStyle w:val="11"/>
        <w:tblW w:w="12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917"/>
        <w:gridCol w:w="1528"/>
        <w:gridCol w:w="5953"/>
        <w:gridCol w:w="1134"/>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jc w:val="center"/>
        </w:trPr>
        <w:tc>
          <w:tcPr>
            <w:tcW w:w="623" w:type="dxa"/>
            <w:noWrap w:val="0"/>
            <w:vAlign w:val="center"/>
          </w:tcPr>
          <w:p>
            <w:pPr>
              <w:tabs>
                <w:tab w:val="left" w:pos="373"/>
              </w:tabs>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序号</w:t>
            </w:r>
          </w:p>
        </w:tc>
        <w:tc>
          <w:tcPr>
            <w:tcW w:w="1917" w:type="dxa"/>
            <w:noWrap w:val="0"/>
            <w:vAlign w:val="center"/>
          </w:tcPr>
          <w:p>
            <w:pPr>
              <w:widowControl/>
              <w:adjustRightInd w:val="0"/>
              <w:snapToGrid w:val="0"/>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工程名称</w:t>
            </w:r>
          </w:p>
        </w:tc>
        <w:tc>
          <w:tcPr>
            <w:tcW w:w="7481" w:type="dxa"/>
            <w:gridSpan w:val="2"/>
            <w:noWrap w:val="0"/>
            <w:vAlign w:val="center"/>
          </w:tcPr>
          <w:p>
            <w:pPr>
              <w:widowControl/>
              <w:adjustRightInd w:val="0"/>
              <w:snapToGrid w:val="0"/>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主要建设内容</w:t>
            </w:r>
          </w:p>
        </w:tc>
        <w:tc>
          <w:tcPr>
            <w:tcW w:w="1134" w:type="dxa"/>
            <w:noWrap w:val="0"/>
            <w:vAlign w:val="center"/>
          </w:tcPr>
          <w:p>
            <w:pPr>
              <w:widowControl/>
              <w:adjustRightInd w:val="0"/>
              <w:snapToGrid w:val="0"/>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总投资（万元）</w:t>
            </w:r>
          </w:p>
        </w:tc>
        <w:tc>
          <w:tcPr>
            <w:tcW w:w="1229" w:type="dxa"/>
            <w:noWrap w:val="0"/>
            <w:vAlign w:val="center"/>
          </w:tcPr>
          <w:p>
            <w:pPr>
              <w:widowControl/>
              <w:adjustRightInd w:val="0"/>
              <w:snapToGrid w:val="0"/>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实施周期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widowControl/>
              <w:adjustRightInd w:val="0"/>
              <w:snapToGrid w:val="0"/>
              <w:spacing w:line="300" w:lineRule="exact"/>
              <w:jc w:val="left"/>
              <w:rPr>
                <w:b/>
                <w:bCs/>
                <w:color w:val="000000"/>
                <w:kern w:val="0"/>
                <w:sz w:val="21"/>
                <w:szCs w:val="21"/>
              </w:rPr>
            </w:pPr>
            <w:r>
              <w:rPr>
                <w:b/>
                <w:bCs/>
                <w:color w:val="000000"/>
                <w:kern w:val="0"/>
                <w:sz w:val="21"/>
                <w:szCs w:val="21"/>
              </w:rPr>
              <w:t>一、生态经济与绿色发展工程</w:t>
            </w:r>
          </w:p>
        </w:tc>
        <w:tc>
          <w:tcPr>
            <w:tcW w:w="1134" w:type="dxa"/>
            <w:noWrap w:val="0"/>
            <w:vAlign w:val="center"/>
          </w:tcPr>
          <w:p>
            <w:pPr>
              <w:widowControl/>
              <w:adjustRightInd w:val="0"/>
              <w:snapToGrid w:val="0"/>
              <w:spacing w:line="300" w:lineRule="exact"/>
              <w:jc w:val="center"/>
              <w:rPr>
                <w:b/>
                <w:bCs/>
                <w:color w:val="000000"/>
                <w:kern w:val="0"/>
                <w:sz w:val="21"/>
                <w:szCs w:val="21"/>
              </w:rPr>
            </w:pPr>
            <w:r>
              <w:rPr>
                <w:b/>
                <w:bCs/>
                <w:color w:val="000000"/>
                <w:kern w:val="0"/>
                <w:sz w:val="21"/>
                <w:szCs w:val="21"/>
              </w:rPr>
              <w:t>2700</w:t>
            </w:r>
          </w:p>
        </w:tc>
        <w:tc>
          <w:tcPr>
            <w:tcW w:w="1229" w:type="dxa"/>
            <w:noWrap w:val="0"/>
            <w:vAlign w:val="center"/>
          </w:tcPr>
          <w:p>
            <w:pPr>
              <w:widowControl/>
              <w:adjustRightInd w:val="0"/>
              <w:snapToGrid w:val="0"/>
              <w:spacing w:line="300" w:lineRule="exact"/>
              <w:jc w:val="center"/>
              <w:rPr>
                <w:b/>
                <w:bCs/>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1</w:t>
            </w:r>
          </w:p>
        </w:tc>
        <w:tc>
          <w:tcPr>
            <w:tcW w:w="1917" w:type="dxa"/>
            <w:noWrap w:val="0"/>
            <w:vAlign w:val="center"/>
          </w:tcPr>
          <w:p>
            <w:pPr>
              <w:spacing w:line="300" w:lineRule="exact"/>
              <w:jc w:val="center"/>
              <w:rPr>
                <w:sz w:val="21"/>
                <w:szCs w:val="21"/>
              </w:rPr>
            </w:pPr>
            <w:r>
              <w:rPr>
                <w:rFonts w:hint="eastAsia"/>
                <w:sz w:val="21"/>
                <w:szCs w:val="21"/>
              </w:rPr>
              <w:t>九龙河市级现代农业园区建设</w:t>
            </w:r>
          </w:p>
        </w:tc>
        <w:tc>
          <w:tcPr>
            <w:tcW w:w="7481" w:type="dxa"/>
            <w:gridSpan w:val="2"/>
            <w:noWrap w:val="0"/>
            <w:vAlign w:val="center"/>
          </w:tcPr>
          <w:p>
            <w:pPr>
              <w:tabs>
                <w:tab w:val="right" w:pos="8228"/>
              </w:tabs>
              <w:spacing w:line="300" w:lineRule="exact"/>
              <w:jc w:val="left"/>
              <w:rPr>
                <w:rFonts w:hint="eastAsia"/>
                <w:sz w:val="21"/>
                <w:szCs w:val="21"/>
              </w:rPr>
            </w:pPr>
            <w:r>
              <w:rPr>
                <w:rFonts w:hint="eastAsia"/>
                <w:sz w:val="21"/>
                <w:szCs w:val="21"/>
              </w:rPr>
              <w:t>在区级大力支持下，加快九龙河市级现代农业园区建设，进一步加强园区“四好农村路”、农田水利工程、高标准农田、农村电网及农村信息化等基础设施建设力度。</w:t>
            </w:r>
          </w:p>
        </w:tc>
        <w:tc>
          <w:tcPr>
            <w:tcW w:w="1134" w:type="dxa"/>
            <w:noWrap w:val="0"/>
            <w:vAlign w:val="center"/>
          </w:tcPr>
          <w:p>
            <w:pPr>
              <w:spacing w:line="300" w:lineRule="exact"/>
              <w:jc w:val="center"/>
              <w:rPr>
                <w:sz w:val="21"/>
                <w:szCs w:val="21"/>
              </w:rPr>
            </w:pPr>
            <w:r>
              <w:rPr>
                <w:rFonts w:hint="eastAsia"/>
                <w:sz w:val="21"/>
                <w:szCs w:val="21"/>
              </w:rPr>
              <w:t>1000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2</w:t>
            </w:r>
          </w:p>
        </w:tc>
        <w:tc>
          <w:tcPr>
            <w:tcW w:w="1917" w:type="dxa"/>
            <w:noWrap w:val="0"/>
            <w:vAlign w:val="center"/>
          </w:tcPr>
          <w:p>
            <w:pPr>
              <w:spacing w:line="300" w:lineRule="exact"/>
              <w:jc w:val="center"/>
              <w:rPr>
                <w:sz w:val="21"/>
                <w:szCs w:val="21"/>
              </w:rPr>
            </w:pPr>
            <w:r>
              <w:rPr>
                <w:rFonts w:hint="eastAsia"/>
                <w:sz w:val="21"/>
                <w:szCs w:val="21"/>
              </w:rPr>
              <w:t>有机、绿色农产品基地建设</w:t>
            </w:r>
          </w:p>
        </w:tc>
        <w:tc>
          <w:tcPr>
            <w:tcW w:w="7481" w:type="dxa"/>
            <w:gridSpan w:val="2"/>
            <w:noWrap w:val="0"/>
            <w:vAlign w:val="center"/>
          </w:tcPr>
          <w:p>
            <w:pPr>
              <w:tabs>
                <w:tab w:val="right" w:pos="8228"/>
              </w:tabs>
              <w:spacing w:line="300" w:lineRule="exact"/>
              <w:jc w:val="left"/>
              <w:rPr>
                <w:sz w:val="21"/>
                <w:szCs w:val="21"/>
              </w:rPr>
            </w:pPr>
            <w:r>
              <w:rPr>
                <w:rFonts w:hint="eastAsia"/>
                <w:sz w:val="21"/>
                <w:szCs w:val="21"/>
                <w:lang w:val="zh-CN"/>
              </w:rPr>
              <w:t>以蔬菜、茶叶基地建设为重点，新发展1000亩以上绿色农产品种植基地。</w:t>
            </w:r>
          </w:p>
        </w:tc>
        <w:tc>
          <w:tcPr>
            <w:tcW w:w="1134" w:type="dxa"/>
            <w:noWrap w:val="0"/>
            <w:vAlign w:val="center"/>
          </w:tcPr>
          <w:p>
            <w:pPr>
              <w:spacing w:line="300" w:lineRule="exact"/>
              <w:jc w:val="center"/>
              <w:rPr>
                <w:sz w:val="21"/>
                <w:szCs w:val="21"/>
              </w:rPr>
            </w:pPr>
            <w:r>
              <w:rPr>
                <w:sz w:val="21"/>
                <w:szCs w:val="21"/>
              </w:rPr>
              <w:t>10</w:t>
            </w:r>
            <w:r>
              <w:rPr>
                <w:rFonts w:hint="eastAsia"/>
                <w:sz w:val="21"/>
                <w:szCs w:val="21"/>
              </w:rPr>
              <w:t>0</w:t>
            </w:r>
            <w:r>
              <w:rPr>
                <w:sz w:val="21"/>
                <w:szCs w:val="21"/>
              </w:rPr>
              <w:t>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3</w:t>
            </w:r>
          </w:p>
        </w:tc>
        <w:tc>
          <w:tcPr>
            <w:tcW w:w="1917" w:type="dxa"/>
            <w:noWrap w:val="0"/>
            <w:vAlign w:val="center"/>
          </w:tcPr>
          <w:p>
            <w:pPr>
              <w:spacing w:line="300" w:lineRule="exact"/>
              <w:jc w:val="center"/>
              <w:rPr>
                <w:sz w:val="21"/>
                <w:szCs w:val="21"/>
              </w:rPr>
            </w:pPr>
            <w:r>
              <w:rPr>
                <w:rFonts w:hint="eastAsia"/>
                <w:sz w:val="21"/>
                <w:szCs w:val="21"/>
              </w:rPr>
              <w:t>有机、绿色食品认证工程</w:t>
            </w:r>
          </w:p>
        </w:tc>
        <w:tc>
          <w:tcPr>
            <w:tcW w:w="7481" w:type="dxa"/>
            <w:gridSpan w:val="2"/>
            <w:noWrap w:val="0"/>
            <w:vAlign w:val="center"/>
          </w:tcPr>
          <w:p>
            <w:pPr>
              <w:tabs>
                <w:tab w:val="right" w:pos="8228"/>
              </w:tabs>
              <w:spacing w:line="300" w:lineRule="exact"/>
              <w:jc w:val="left"/>
              <w:rPr>
                <w:sz w:val="21"/>
                <w:szCs w:val="21"/>
              </w:rPr>
            </w:pPr>
            <w:r>
              <w:rPr>
                <w:rFonts w:hint="eastAsia" w:ascii="方正仿宋_GBK"/>
                <w:sz w:val="21"/>
                <w:szCs w:val="21"/>
                <w:lang w:val="zh-CN"/>
              </w:rPr>
              <w:t>推进“两品一标”</w:t>
            </w:r>
            <w:r>
              <w:rPr>
                <w:sz w:val="21"/>
                <w:szCs w:val="21"/>
                <w:lang w:val="zh-CN"/>
              </w:rPr>
              <w:t>农产品品牌认证，扩大</w:t>
            </w:r>
            <w:r>
              <w:rPr>
                <w:rFonts w:hint="eastAsia"/>
                <w:sz w:val="21"/>
                <w:szCs w:val="21"/>
                <w:lang w:val="zh-CN"/>
              </w:rPr>
              <w:t>生态茶叶、绿色蔬菜、名优水果</w:t>
            </w:r>
            <w:r>
              <w:rPr>
                <w:sz w:val="21"/>
                <w:szCs w:val="21"/>
                <w:lang w:val="zh-CN"/>
              </w:rPr>
              <w:t>等优势农产品品牌效应</w:t>
            </w:r>
            <w:r>
              <w:rPr>
                <w:sz w:val="21"/>
                <w:szCs w:val="21"/>
              </w:rPr>
              <w:t>。</w:t>
            </w:r>
          </w:p>
        </w:tc>
        <w:tc>
          <w:tcPr>
            <w:tcW w:w="1134" w:type="dxa"/>
            <w:noWrap w:val="0"/>
            <w:vAlign w:val="center"/>
          </w:tcPr>
          <w:p>
            <w:pPr>
              <w:spacing w:line="300" w:lineRule="exact"/>
              <w:jc w:val="center"/>
              <w:rPr>
                <w:sz w:val="21"/>
                <w:szCs w:val="21"/>
              </w:rPr>
            </w:pPr>
            <w:r>
              <w:rPr>
                <w:sz w:val="21"/>
                <w:szCs w:val="21"/>
              </w:rPr>
              <w:t>10</w:t>
            </w:r>
            <w:r>
              <w:rPr>
                <w:rFonts w:hint="eastAsia"/>
                <w:sz w:val="21"/>
                <w:szCs w:val="21"/>
              </w:rPr>
              <w:t>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w:t>
            </w:r>
          </w:p>
        </w:tc>
        <w:tc>
          <w:tcPr>
            <w:tcW w:w="1917" w:type="dxa"/>
            <w:noWrap w:val="0"/>
            <w:vAlign w:val="center"/>
          </w:tcPr>
          <w:p>
            <w:pPr>
              <w:spacing w:line="300" w:lineRule="exact"/>
              <w:jc w:val="center"/>
              <w:rPr>
                <w:sz w:val="21"/>
                <w:szCs w:val="21"/>
              </w:rPr>
            </w:pPr>
            <w:r>
              <w:rPr>
                <w:rFonts w:hint="eastAsia"/>
                <w:sz w:val="21"/>
                <w:szCs w:val="21"/>
              </w:rPr>
              <w:t>推进</w:t>
            </w:r>
            <w:r>
              <w:rPr>
                <w:sz w:val="21"/>
                <w:szCs w:val="21"/>
              </w:rPr>
              <w:t>生态农业</w:t>
            </w:r>
            <w:r>
              <w:rPr>
                <w:rFonts w:hint="eastAsia"/>
                <w:sz w:val="21"/>
                <w:szCs w:val="21"/>
              </w:rPr>
              <w:t>建设</w:t>
            </w:r>
          </w:p>
        </w:tc>
        <w:tc>
          <w:tcPr>
            <w:tcW w:w="7481" w:type="dxa"/>
            <w:gridSpan w:val="2"/>
            <w:noWrap w:val="0"/>
            <w:vAlign w:val="center"/>
          </w:tcPr>
          <w:p>
            <w:pPr>
              <w:tabs>
                <w:tab w:val="right" w:pos="8228"/>
              </w:tabs>
              <w:spacing w:line="300" w:lineRule="exact"/>
              <w:jc w:val="left"/>
              <w:rPr>
                <w:sz w:val="21"/>
                <w:szCs w:val="21"/>
                <w:lang w:val="zh-CN"/>
              </w:rPr>
            </w:pPr>
            <w:r>
              <w:rPr>
                <w:rFonts w:hint="eastAsia"/>
                <w:sz w:val="21"/>
                <w:szCs w:val="21"/>
                <w:lang w:val="zh-CN"/>
              </w:rPr>
              <w:t>以种植大户、公司为重点对象，</w:t>
            </w:r>
            <w:r>
              <w:rPr>
                <w:sz w:val="21"/>
                <w:szCs w:val="21"/>
                <w:lang w:val="zh-CN"/>
              </w:rPr>
              <w:t>推广使用智能测土配方施肥、</w:t>
            </w:r>
            <w:r>
              <w:rPr>
                <w:sz w:val="21"/>
                <w:szCs w:val="21"/>
              </w:rPr>
              <w:t>绿肥种植、</w:t>
            </w:r>
            <w:r>
              <w:rPr>
                <w:sz w:val="21"/>
                <w:szCs w:val="21"/>
                <w:lang w:val="zh-CN"/>
              </w:rPr>
              <w:t>农机定位耕作、</w:t>
            </w:r>
            <w:r>
              <w:rPr>
                <w:rFonts w:hint="eastAsia"/>
                <w:sz w:val="21"/>
                <w:szCs w:val="21"/>
                <w:lang w:val="zh-CN"/>
              </w:rPr>
              <w:t>病虫害监测</w:t>
            </w:r>
            <w:r>
              <w:rPr>
                <w:sz w:val="21"/>
                <w:szCs w:val="21"/>
                <w:lang w:val="zh-CN"/>
              </w:rPr>
              <w:t>等精细化作业。</w:t>
            </w:r>
          </w:p>
        </w:tc>
        <w:tc>
          <w:tcPr>
            <w:tcW w:w="1134" w:type="dxa"/>
            <w:noWrap w:val="0"/>
            <w:vAlign w:val="center"/>
          </w:tcPr>
          <w:p>
            <w:pPr>
              <w:spacing w:line="300" w:lineRule="exact"/>
              <w:jc w:val="center"/>
              <w:rPr>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5</w:t>
            </w:r>
          </w:p>
        </w:tc>
        <w:tc>
          <w:tcPr>
            <w:tcW w:w="1917" w:type="dxa"/>
            <w:noWrap w:val="0"/>
            <w:vAlign w:val="center"/>
          </w:tcPr>
          <w:p>
            <w:pPr>
              <w:spacing w:line="300" w:lineRule="exact"/>
              <w:jc w:val="center"/>
              <w:rPr>
                <w:sz w:val="21"/>
                <w:szCs w:val="21"/>
              </w:rPr>
            </w:pPr>
            <w:r>
              <w:rPr>
                <w:rFonts w:hint="eastAsia"/>
                <w:sz w:val="21"/>
                <w:szCs w:val="21"/>
              </w:rPr>
              <w:t>推进乡村</w:t>
            </w:r>
            <w:r>
              <w:rPr>
                <w:sz w:val="21"/>
                <w:szCs w:val="21"/>
              </w:rPr>
              <w:t>生态旅游建设</w:t>
            </w:r>
          </w:p>
        </w:tc>
        <w:tc>
          <w:tcPr>
            <w:tcW w:w="7481" w:type="dxa"/>
            <w:gridSpan w:val="2"/>
            <w:noWrap w:val="0"/>
            <w:vAlign w:val="center"/>
          </w:tcPr>
          <w:p>
            <w:pPr>
              <w:tabs>
                <w:tab w:val="right" w:pos="8228"/>
              </w:tabs>
              <w:spacing w:line="300" w:lineRule="exact"/>
              <w:jc w:val="left"/>
              <w:rPr>
                <w:rFonts w:hint="eastAsia"/>
                <w:sz w:val="21"/>
                <w:szCs w:val="21"/>
                <w:lang w:val="zh-CN"/>
              </w:rPr>
            </w:pPr>
            <w:r>
              <w:rPr>
                <w:rFonts w:hint="eastAsia"/>
                <w:sz w:val="21"/>
                <w:szCs w:val="21"/>
                <w:lang w:val="zh-CN"/>
              </w:rPr>
              <w:t>积极争取项目支</w:t>
            </w:r>
            <w:r>
              <w:rPr>
                <w:rFonts w:hint="eastAsia"/>
                <w:color w:val="auto"/>
                <w:sz w:val="21"/>
                <w:szCs w:val="21"/>
                <w:lang w:val="zh-CN"/>
              </w:rPr>
              <w:t>撑</w:t>
            </w:r>
            <w:r>
              <w:rPr>
                <w:rFonts w:hint="eastAsia"/>
                <w:sz w:val="21"/>
                <w:szCs w:val="21"/>
                <w:lang w:val="zh-CN"/>
              </w:rPr>
              <w:t>，不断丰富银月湖民俗文化村、五花马生态农业园、洞子口村明日见科普基地内涵，</w:t>
            </w:r>
            <w:r>
              <w:rPr>
                <w:sz w:val="21"/>
                <w:szCs w:val="21"/>
                <w:lang w:val="zh-CN"/>
              </w:rPr>
              <w:t>鼓励业主发展生态观光、特色农产品采摘、休闲垂钓等多种</w:t>
            </w:r>
            <w:r>
              <w:rPr>
                <w:rFonts w:hint="eastAsia"/>
                <w:sz w:val="21"/>
                <w:szCs w:val="21"/>
                <w:lang w:val="zh-CN"/>
              </w:rPr>
              <w:t>休闲旅游</w:t>
            </w:r>
            <w:r>
              <w:rPr>
                <w:sz w:val="21"/>
                <w:szCs w:val="21"/>
                <w:lang w:val="zh-CN"/>
              </w:rPr>
              <w:t>形式，完善垃圾桶、垃圾箱、</w:t>
            </w:r>
            <w:r>
              <w:rPr>
                <w:sz w:val="21"/>
                <w:szCs w:val="21"/>
              </w:rPr>
              <w:t>农家乐污水处理</w:t>
            </w:r>
            <w:r>
              <w:rPr>
                <w:rFonts w:hint="eastAsia"/>
                <w:sz w:val="21"/>
                <w:szCs w:val="21"/>
              </w:rPr>
              <w:t>、旅游厕所</w:t>
            </w:r>
            <w:r>
              <w:rPr>
                <w:sz w:val="21"/>
                <w:szCs w:val="21"/>
                <w:lang w:val="zh-CN"/>
              </w:rPr>
              <w:t>等基础设施。</w:t>
            </w:r>
          </w:p>
        </w:tc>
        <w:tc>
          <w:tcPr>
            <w:tcW w:w="1134" w:type="dxa"/>
            <w:noWrap w:val="0"/>
            <w:vAlign w:val="center"/>
          </w:tcPr>
          <w:p>
            <w:pPr>
              <w:spacing w:line="300" w:lineRule="exact"/>
              <w:jc w:val="center"/>
              <w:rPr>
                <w:sz w:val="21"/>
                <w:szCs w:val="21"/>
              </w:rPr>
            </w:pPr>
            <w:r>
              <w:rPr>
                <w:sz w:val="21"/>
                <w:szCs w:val="21"/>
              </w:rPr>
              <w:t>500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left"/>
              <w:rPr>
                <w:sz w:val="21"/>
                <w:szCs w:val="21"/>
              </w:rPr>
            </w:pPr>
            <w:r>
              <w:rPr>
                <w:b/>
                <w:bCs/>
                <w:color w:val="000000"/>
                <w:kern w:val="0"/>
                <w:sz w:val="21"/>
                <w:szCs w:val="21"/>
              </w:rPr>
              <w:t>二、生态环境质量提升工程</w:t>
            </w:r>
          </w:p>
        </w:tc>
        <w:tc>
          <w:tcPr>
            <w:tcW w:w="1134" w:type="dxa"/>
            <w:noWrap w:val="0"/>
            <w:vAlign w:val="center"/>
          </w:tcPr>
          <w:p>
            <w:pPr>
              <w:spacing w:line="300" w:lineRule="exact"/>
              <w:jc w:val="center"/>
              <w:rPr>
                <w:b/>
                <w:bCs/>
                <w:sz w:val="21"/>
                <w:szCs w:val="21"/>
              </w:rPr>
            </w:pPr>
            <w:r>
              <w:rPr>
                <w:rFonts w:hint="eastAsia"/>
                <w:b/>
                <w:bCs/>
                <w:sz w:val="21"/>
                <w:szCs w:val="21"/>
              </w:rPr>
              <w:t>700</w:t>
            </w:r>
          </w:p>
        </w:tc>
        <w:tc>
          <w:tcPr>
            <w:tcW w:w="1229" w:type="dxa"/>
            <w:noWrap w:val="0"/>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6</w:t>
            </w:r>
          </w:p>
        </w:tc>
        <w:tc>
          <w:tcPr>
            <w:tcW w:w="1917" w:type="dxa"/>
            <w:vMerge w:val="restart"/>
            <w:noWrap w:val="0"/>
            <w:vAlign w:val="center"/>
          </w:tcPr>
          <w:p>
            <w:pPr>
              <w:spacing w:line="300" w:lineRule="exact"/>
              <w:jc w:val="center"/>
              <w:rPr>
                <w:sz w:val="21"/>
                <w:szCs w:val="21"/>
              </w:rPr>
            </w:pPr>
            <w:r>
              <w:rPr>
                <w:rFonts w:hint="eastAsia"/>
                <w:sz w:val="21"/>
                <w:szCs w:val="21"/>
              </w:rPr>
              <w:t>持续抓好九龙河流域水生态环境保护</w:t>
            </w:r>
          </w:p>
        </w:tc>
        <w:tc>
          <w:tcPr>
            <w:tcW w:w="1528" w:type="dxa"/>
            <w:noWrap w:val="0"/>
            <w:vAlign w:val="center"/>
          </w:tcPr>
          <w:p>
            <w:pPr>
              <w:spacing w:line="300" w:lineRule="exact"/>
              <w:jc w:val="center"/>
              <w:rPr>
                <w:rFonts w:hint="eastAsia"/>
                <w:sz w:val="21"/>
                <w:szCs w:val="21"/>
              </w:rPr>
            </w:pPr>
            <w:r>
              <w:rPr>
                <w:rFonts w:hint="eastAsia"/>
                <w:sz w:val="21"/>
                <w:szCs w:val="21"/>
              </w:rPr>
              <w:t>九龙河河道治理</w:t>
            </w:r>
          </w:p>
        </w:tc>
        <w:tc>
          <w:tcPr>
            <w:tcW w:w="5953" w:type="dxa"/>
            <w:noWrap w:val="0"/>
            <w:vAlign w:val="center"/>
          </w:tcPr>
          <w:p>
            <w:pPr>
              <w:spacing w:line="300" w:lineRule="exact"/>
              <w:jc w:val="left"/>
              <w:rPr>
                <w:sz w:val="21"/>
                <w:szCs w:val="21"/>
              </w:rPr>
            </w:pPr>
            <w:r>
              <w:rPr>
                <w:rFonts w:hint="eastAsia"/>
                <w:sz w:val="21"/>
                <w:szCs w:val="21"/>
              </w:rPr>
              <w:t>深化落实“河长制”，继续实施九龙河“两违”畜禽及水产养殖专项整治，推进九龙河金龙场镇上游段河道整治4公里。</w:t>
            </w:r>
          </w:p>
        </w:tc>
        <w:tc>
          <w:tcPr>
            <w:tcW w:w="1134" w:type="dxa"/>
            <w:noWrap w:val="0"/>
            <w:vAlign w:val="center"/>
          </w:tcPr>
          <w:p>
            <w:pPr>
              <w:spacing w:line="300" w:lineRule="exact"/>
              <w:jc w:val="center"/>
              <w:rPr>
                <w:sz w:val="21"/>
                <w:szCs w:val="21"/>
              </w:rPr>
            </w:pPr>
            <w:r>
              <w:rPr>
                <w:rFonts w:hint="eastAsia"/>
                <w:sz w:val="21"/>
                <w:szCs w:val="21"/>
              </w:rPr>
              <w:t>500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7</w:t>
            </w:r>
          </w:p>
        </w:tc>
        <w:tc>
          <w:tcPr>
            <w:tcW w:w="1917" w:type="dxa"/>
            <w:vMerge w:val="continue"/>
            <w:noWrap w:val="0"/>
            <w:vAlign w:val="center"/>
          </w:tcPr>
          <w:p>
            <w:pPr>
              <w:spacing w:line="300" w:lineRule="exact"/>
              <w:jc w:val="center"/>
              <w:rPr>
                <w:sz w:val="21"/>
                <w:szCs w:val="21"/>
              </w:rPr>
            </w:pPr>
          </w:p>
        </w:tc>
        <w:tc>
          <w:tcPr>
            <w:tcW w:w="1528" w:type="dxa"/>
            <w:noWrap w:val="0"/>
            <w:vAlign w:val="center"/>
          </w:tcPr>
          <w:p>
            <w:pPr>
              <w:spacing w:line="300" w:lineRule="exact"/>
              <w:jc w:val="center"/>
              <w:rPr>
                <w:sz w:val="21"/>
                <w:szCs w:val="21"/>
              </w:rPr>
            </w:pPr>
            <w:r>
              <w:rPr>
                <w:rFonts w:hint="eastAsia"/>
                <w:sz w:val="21"/>
                <w:szCs w:val="21"/>
              </w:rPr>
              <w:t>农村水源地保护工程</w:t>
            </w:r>
          </w:p>
        </w:tc>
        <w:tc>
          <w:tcPr>
            <w:tcW w:w="5953" w:type="dxa"/>
            <w:noWrap w:val="0"/>
            <w:vAlign w:val="center"/>
          </w:tcPr>
          <w:p>
            <w:pPr>
              <w:spacing w:line="300" w:lineRule="exact"/>
              <w:jc w:val="left"/>
              <w:rPr>
                <w:rFonts w:hint="eastAsia"/>
                <w:sz w:val="21"/>
                <w:szCs w:val="21"/>
              </w:rPr>
            </w:pPr>
            <w:r>
              <w:rPr>
                <w:rFonts w:hint="eastAsia"/>
                <w:sz w:val="21"/>
                <w:szCs w:val="21"/>
              </w:rPr>
              <w:t>逐步开展人民水库等分散式农村饮用水水源地保护区划分，加强保护区范围内污染防治。</w:t>
            </w:r>
          </w:p>
        </w:tc>
        <w:tc>
          <w:tcPr>
            <w:tcW w:w="1134" w:type="dxa"/>
            <w:noWrap w:val="0"/>
            <w:vAlign w:val="center"/>
          </w:tcPr>
          <w:p>
            <w:pPr>
              <w:spacing w:line="300" w:lineRule="exact"/>
              <w:jc w:val="center"/>
              <w:rPr>
                <w:sz w:val="21"/>
                <w:szCs w:val="21"/>
              </w:rPr>
            </w:pPr>
            <w:r>
              <w:rPr>
                <w:sz w:val="21"/>
                <w:szCs w:val="21"/>
              </w:rPr>
              <w:t>50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8</w:t>
            </w:r>
          </w:p>
        </w:tc>
        <w:tc>
          <w:tcPr>
            <w:tcW w:w="1917" w:type="dxa"/>
            <w:vMerge w:val="continue"/>
            <w:noWrap w:val="0"/>
            <w:vAlign w:val="center"/>
          </w:tcPr>
          <w:p>
            <w:pPr>
              <w:spacing w:line="300" w:lineRule="exact"/>
              <w:jc w:val="center"/>
              <w:rPr>
                <w:sz w:val="21"/>
                <w:szCs w:val="21"/>
              </w:rPr>
            </w:pPr>
          </w:p>
        </w:tc>
        <w:tc>
          <w:tcPr>
            <w:tcW w:w="1528" w:type="dxa"/>
            <w:noWrap w:val="0"/>
            <w:vAlign w:val="center"/>
          </w:tcPr>
          <w:p>
            <w:pPr>
              <w:spacing w:line="300" w:lineRule="exact"/>
              <w:jc w:val="center"/>
              <w:rPr>
                <w:sz w:val="21"/>
                <w:szCs w:val="21"/>
              </w:rPr>
            </w:pPr>
            <w:r>
              <w:rPr>
                <w:rFonts w:hint="eastAsia"/>
                <w:sz w:val="21"/>
                <w:szCs w:val="21"/>
              </w:rPr>
              <w:t>水生态修复工程</w:t>
            </w:r>
          </w:p>
        </w:tc>
        <w:tc>
          <w:tcPr>
            <w:tcW w:w="5953" w:type="dxa"/>
            <w:noWrap w:val="0"/>
            <w:vAlign w:val="center"/>
          </w:tcPr>
          <w:p>
            <w:pPr>
              <w:spacing w:line="300" w:lineRule="exact"/>
              <w:jc w:val="left"/>
              <w:rPr>
                <w:sz w:val="21"/>
                <w:szCs w:val="21"/>
              </w:rPr>
            </w:pPr>
            <w:r>
              <w:rPr>
                <w:rFonts w:hint="eastAsia"/>
                <w:sz w:val="21"/>
                <w:szCs w:val="21"/>
              </w:rPr>
              <w:t>配合区级部门实施河湖水系连通工程。</w:t>
            </w:r>
          </w:p>
        </w:tc>
        <w:tc>
          <w:tcPr>
            <w:tcW w:w="1134" w:type="dxa"/>
            <w:noWrap w:val="0"/>
            <w:vAlign w:val="center"/>
          </w:tcPr>
          <w:p>
            <w:pPr>
              <w:spacing w:line="300" w:lineRule="exact"/>
              <w:jc w:val="center"/>
              <w:rPr>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9</w:t>
            </w:r>
          </w:p>
        </w:tc>
        <w:tc>
          <w:tcPr>
            <w:tcW w:w="1917" w:type="dxa"/>
            <w:vMerge w:val="continue"/>
            <w:noWrap w:val="0"/>
            <w:vAlign w:val="center"/>
          </w:tcPr>
          <w:p>
            <w:pPr>
              <w:spacing w:line="300" w:lineRule="exact"/>
              <w:jc w:val="center"/>
              <w:rPr>
                <w:sz w:val="21"/>
                <w:szCs w:val="21"/>
              </w:rPr>
            </w:pPr>
          </w:p>
        </w:tc>
        <w:tc>
          <w:tcPr>
            <w:tcW w:w="1528" w:type="dxa"/>
            <w:noWrap w:val="0"/>
            <w:vAlign w:val="center"/>
          </w:tcPr>
          <w:p>
            <w:pPr>
              <w:spacing w:line="300" w:lineRule="exact"/>
              <w:jc w:val="center"/>
              <w:rPr>
                <w:sz w:val="21"/>
                <w:szCs w:val="21"/>
              </w:rPr>
            </w:pPr>
            <w:r>
              <w:rPr>
                <w:rFonts w:hint="eastAsia"/>
                <w:sz w:val="21"/>
                <w:szCs w:val="21"/>
              </w:rPr>
              <w:t>污水处理厂尾水湿地建设</w:t>
            </w:r>
          </w:p>
        </w:tc>
        <w:tc>
          <w:tcPr>
            <w:tcW w:w="5953" w:type="dxa"/>
            <w:noWrap w:val="0"/>
            <w:vAlign w:val="center"/>
          </w:tcPr>
          <w:p>
            <w:pPr>
              <w:spacing w:line="300" w:lineRule="exact"/>
              <w:jc w:val="left"/>
              <w:rPr>
                <w:rFonts w:hint="eastAsia"/>
                <w:sz w:val="21"/>
                <w:szCs w:val="21"/>
              </w:rPr>
            </w:pPr>
            <w:r>
              <w:rPr>
                <w:rFonts w:hint="eastAsia"/>
                <w:sz w:val="21"/>
                <w:szCs w:val="21"/>
              </w:rPr>
              <w:t>针对污水处理厂排口尾水实施进一步处理，积极申报金龙镇污水处理厂尾水处理湿地建设项目。</w:t>
            </w:r>
          </w:p>
        </w:tc>
        <w:tc>
          <w:tcPr>
            <w:tcW w:w="1134" w:type="dxa"/>
            <w:noWrap w:val="0"/>
            <w:vAlign w:val="center"/>
          </w:tcPr>
          <w:p>
            <w:pPr>
              <w:spacing w:line="300" w:lineRule="exact"/>
              <w:jc w:val="center"/>
              <w:rPr>
                <w:sz w:val="21"/>
                <w:szCs w:val="21"/>
              </w:rPr>
            </w:pPr>
            <w:r>
              <w:rPr>
                <w:rFonts w:hint="eastAsia"/>
                <w:sz w:val="21"/>
                <w:szCs w:val="21"/>
              </w:rPr>
              <w:t>50</w:t>
            </w:r>
          </w:p>
        </w:tc>
        <w:tc>
          <w:tcPr>
            <w:tcW w:w="1229" w:type="dxa"/>
            <w:noWrap w:val="0"/>
            <w:vAlign w:val="center"/>
          </w:tcPr>
          <w:p>
            <w:pPr>
              <w:spacing w:line="300" w:lineRule="exact"/>
              <w:jc w:val="center"/>
              <w:rPr>
                <w:sz w:val="21"/>
                <w:szCs w:val="21"/>
              </w:rPr>
            </w:pPr>
            <w:r>
              <w:rPr>
                <w:rFonts w:hint="eastAsia"/>
                <w:sz w:val="21"/>
                <w:szCs w:val="21"/>
              </w:rPr>
              <w:t>2</w:t>
            </w:r>
            <w:r>
              <w:rPr>
                <w:sz w:val="21"/>
                <w:szCs w:val="21"/>
              </w:rPr>
              <w:t>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left"/>
              <w:rPr>
                <w:rFonts w:hint="eastAsia"/>
                <w:sz w:val="21"/>
                <w:szCs w:val="21"/>
              </w:rPr>
            </w:pPr>
            <w:r>
              <w:rPr>
                <w:rFonts w:hint="eastAsia"/>
                <w:b/>
                <w:bCs/>
                <w:color w:val="000000"/>
                <w:kern w:val="0"/>
                <w:sz w:val="21"/>
                <w:szCs w:val="21"/>
              </w:rPr>
              <w:t>三</w:t>
            </w:r>
            <w:r>
              <w:rPr>
                <w:b/>
                <w:bCs/>
                <w:color w:val="000000"/>
                <w:kern w:val="0"/>
                <w:sz w:val="21"/>
                <w:szCs w:val="21"/>
              </w:rPr>
              <w:t>、</w:t>
            </w:r>
            <w:r>
              <w:rPr>
                <w:rFonts w:hint="eastAsia"/>
                <w:b/>
                <w:bCs/>
                <w:color w:val="000000"/>
                <w:kern w:val="0"/>
                <w:sz w:val="21"/>
                <w:szCs w:val="21"/>
              </w:rPr>
              <w:t>生态空间保护工程</w:t>
            </w:r>
          </w:p>
        </w:tc>
        <w:tc>
          <w:tcPr>
            <w:tcW w:w="1134" w:type="dxa"/>
            <w:noWrap w:val="0"/>
            <w:vAlign w:val="center"/>
          </w:tcPr>
          <w:p>
            <w:pPr>
              <w:spacing w:line="300" w:lineRule="exact"/>
              <w:jc w:val="center"/>
              <w:rPr>
                <w:rFonts w:hint="eastAsia"/>
                <w:b/>
                <w:sz w:val="21"/>
                <w:szCs w:val="21"/>
              </w:rPr>
            </w:pPr>
            <w:r>
              <w:rPr>
                <w:b/>
                <w:sz w:val="21"/>
                <w:szCs w:val="21"/>
              </w:rPr>
              <w:t>300</w:t>
            </w:r>
          </w:p>
        </w:tc>
        <w:tc>
          <w:tcPr>
            <w:tcW w:w="1229" w:type="dxa"/>
            <w:noWrap w:val="0"/>
            <w:vAlign w:val="center"/>
          </w:tcPr>
          <w:p>
            <w:pPr>
              <w:spacing w:line="300" w:lineRule="exact"/>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1</w:t>
            </w:r>
            <w:r>
              <w:rPr>
                <w:rFonts w:ascii="Times New Roman" w:hAnsi="Times New Roman" w:eastAsia="方正仿宋_GBK" w:cs="Times New Roman"/>
                <w:color w:val="000000"/>
                <w:kern w:val="0"/>
                <w:sz w:val="21"/>
                <w:szCs w:val="21"/>
              </w:rPr>
              <w:t>0</w:t>
            </w:r>
          </w:p>
        </w:tc>
        <w:tc>
          <w:tcPr>
            <w:tcW w:w="1917" w:type="dxa"/>
            <w:noWrap w:val="0"/>
            <w:vAlign w:val="center"/>
          </w:tcPr>
          <w:p>
            <w:pPr>
              <w:spacing w:line="300" w:lineRule="exact"/>
              <w:jc w:val="center"/>
              <w:rPr>
                <w:sz w:val="21"/>
                <w:szCs w:val="21"/>
              </w:rPr>
            </w:pPr>
            <w:r>
              <w:rPr>
                <w:rFonts w:hint="eastAsia"/>
                <w:sz w:val="21"/>
                <w:szCs w:val="21"/>
              </w:rPr>
              <w:t>森林生态系统保护</w:t>
            </w:r>
          </w:p>
        </w:tc>
        <w:tc>
          <w:tcPr>
            <w:tcW w:w="7481" w:type="dxa"/>
            <w:gridSpan w:val="2"/>
            <w:noWrap w:val="0"/>
            <w:vAlign w:val="center"/>
          </w:tcPr>
          <w:p>
            <w:pPr>
              <w:spacing w:line="300" w:lineRule="exact"/>
              <w:jc w:val="left"/>
              <w:rPr>
                <w:rFonts w:hint="eastAsia"/>
                <w:sz w:val="21"/>
                <w:szCs w:val="21"/>
              </w:rPr>
            </w:pPr>
            <w:r>
              <w:rPr>
                <w:rFonts w:hint="eastAsia"/>
                <w:sz w:val="21"/>
                <w:szCs w:val="21"/>
              </w:rPr>
              <w:t>持续抓好全镇4.7万余亩森林管护，完善森林防火、防虫害基础设施。</w:t>
            </w:r>
          </w:p>
        </w:tc>
        <w:tc>
          <w:tcPr>
            <w:tcW w:w="1134" w:type="dxa"/>
            <w:noWrap w:val="0"/>
            <w:vAlign w:val="center"/>
          </w:tcPr>
          <w:p>
            <w:pPr>
              <w:spacing w:line="300" w:lineRule="exact"/>
              <w:jc w:val="center"/>
              <w:rPr>
                <w:rFonts w:hint="eastAsia"/>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11</w:t>
            </w:r>
          </w:p>
        </w:tc>
        <w:tc>
          <w:tcPr>
            <w:tcW w:w="1917" w:type="dxa"/>
            <w:noWrap w:val="0"/>
            <w:vAlign w:val="center"/>
          </w:tcPr>
          <w:p>
            <w:pPr>
              <w:spacing w:line="300" w:lineRule="exact"/>
              <w:jc w:val="center"/>
              <w:rPr>
                <w:sz w:val="21"/>
                <w:szCs w:val="21"/>
              </w:rPr>
            </w:pPr>
            <w:r>
              <w:rPr>
                <w:rFonts w:hint="eastAsia"/>
                <w:sz w:val="21"/>
                <w:szCs w:val="21"/>
              </w:rPr>
              <w:t>造林绿化工程</w:t>
            </w:r>
          </w:p>
        </w:tc>
        <w:tc>
          <w:tcPr>
            <w:tcW w:w="7481" w:type="dxa"/>
            <w:gridSpan w:val="2"/>
            <w:noWrap w:val="0"/>
            <w:vAlign w:val="center"/>
          </w:tcPr>
          <w:p>
            <w:pPr>
              <w:spacing w:line="300" w:lineRule="exact"/>
              <w:jc w:val="left"/>
              <w:rPr>
                <w:rFonts w:hint="eastAsia"/>
                <w:sz w:val="21"/>
                <w:szCs w:val="21"/>
              </w:rPr>
            </w:pPr>
            <w:r>
              <w:rPr>
                <w:rFonts w:hint="eastAsia"/>
                <w:sz w:val="21"/>
                <w:szCs w:val="21"/>
              </w:rPr>
              <w:t>建设金龙公园，以九龙河河道两侧以及隆普路、园区公路等重要道路为重点，大力开展绿化廊道建设。</w:t>
            </w:r>
          </w:p>
        </w:tc>
        <w:tc>
          <w:tcPr>
            <w:tcW w:w="1134" w:type="dxa"/>
            <w:noWrap w:val="0"/>
            <w:vAlign w:val="center"/>
          </w:tcPr>
          <w:p>
            <w:pPr>
              <w:spacing w:line="300" w:lineRule="exact"/>
              <w:jc w:val="center"/>
              <w:rPr>
                <w:rFonts w:hint="eastAsia"/>
                <w:sz w:val="21"/>
                <w:szCs w:val="21"/>
              </w:rPr>
            </w:pPr>
            <w:r>
              <w:rPr>
                <w:sz w:val="21"/>
                <w:szCs w:val="21"/>
              </w:rPr>
              <w:t>20</w:t>
            </w:r>
            <w:r>
              <w:rPr>
                <w:rFonts w:hint="eastAsia"/>
                <w:sz w:val="21"/>
                <w:szCs w:val="21"/>
              </w:rPr>
              <w:t>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left"/>
              <w:rPr>
                <w:rFonts w:hint="eastAsia"/>
                <w:sz w:val="21"/>
                <w:szCs w:val="21"/>
              </w:rPr>
            </w:pPr>
            <w:r>
              <w:rPr>
                <w:rFonts w:hint="eastAsia"/>
                <w:b/>
                <w:bCs/>
                <w:color w:val="000000"/>
                <w:kern w:val="0"/>
                <w:sz w:val="21"/>
                <w:szCs w:val="21"/>
              </w:rPr>
              <w:t>四</w:t>
            </w:r>
            <w:r>
              <w:rPr>
                <w:b/>
                <w:bCs/>
                <w:color w:val="000000"/>
                <w:kern w:val="0"/>
                <w:sz w:val="21"/>
                <w:szCs w:val="21"/>
              </w:rPr>
              <w:t>、</w:t>
            </w:r>
            <w:r>
              <w:rPr>
                <w:rFonts w:hint="eastAsia"/>
                <w:b/>
                <w:bCs/>
                <w:color w:val="000000"/>
                <w:kern w:val="0"/>
                <w:sz w:val="21"/>
                <w:szCs w:val="21"/>
              </w:rPr>
              <w:t>农村人居环境质量提升工程</w:t>
            </w:r>
          </w:p>
        </w:tc>
        <w:tc>
          <w:tcPr>
            <w:tcW w:w="1134" w:type="dxa"/>
            <w:noWrap w:val="0"/>
            <w:vAlign w:val="center"/>
          </w:tcPr>
          <w:p>
            <w:pPr>
              <w:spacing w:line="300" w:lineRule="exact"/>
              <w:jc w:val="center"/>
              <w:rPr>
                <w:rFonts w:hint="eastAsia"/>
                <w:b/>
                <w:sz w:val="21"/>
                <w:szCs w:val="21"/>
              </w:rPr>
            </w:pPr>
            <w:r>
              <w:rPr>
                <w:b/>
                <w:sz w:val="21"/>
                <w:szCs w:val="21"/>
              </w:rPr>
              <w:t>440</w:t>
            </w:r>
          </w:p>
        </w:tc>
        <w:tc>
          <w:tcPr>
            <w:tcW w:w="1229" w:type="dxa"/>
            <w:noWrap w:val="0"/>
            <w:vAlign w:val="center"/>
          </w:tcPr>
          <w:p>
            <w:pPr>
              <w:spacing w:line="300" w:lineRule="exact"/>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12</w:t>
            </w:r>
          </w:p>
        </w:tc>
        <w:tc>
          <w:tcPr>
            <w:tcW w:w="1917" w:type="dxa"/>
            <w:noWrap w:val="0"/>
            <w:vAlign w:val="center"/>
          </w:tcPr>
          <w:p>
            <w:pPr>
              <w:spacing w:line="300" w:lineRule="exact"/>
              <w:jc w:val="center"/>
              <w:rPr>
                <w:sz w:val="21"/>
                <w:szCs w:val="21"/>
              </w:rPr>
            </w:pPr>
            <w:r>
              <w:rPr>
                <w:sz w:val="21"/>
                <w:szCs w:val="21"/>
              </w:rPr>
              <w:t>生活垃圾分类</w:t>
            </w:r>
            <w:r>
              <w:rPr>
                <w:rFonts w:hint="eastAsia"/>
                <w:sz w:val="21"/>
                <w:szCs w:val="21"/>
              </w:rPr>
              <w:t>示范村建设</w:t>
            </w:r>
          </w:p>
        </w:tc>
        <w:tc>
          <w:tcPr>
            <w:tcW w:w="7481" w:type="dxa"/>
            <w:gridSpan w:val="2"/>
            <w:noWrap w:val="0"/>
            <w:vAlign w:val="center"/>
          </w:tcPr>
          <w:p>
            <w:pPr>
              <w:spacing w:line="300" w:lineRule="exact"/>
              <w:jc w:val="left"/>
              <w:rPr>
                <w:sz w:val="21"/>
                <w:szCs w:val="21"/>
                <w:lang w:val="zh-CN"/>
              </w:rPr>
            </w:pPr>
            <w:r>
              <w:rPr>
                <w:rFonts w:hint="eastAsia"/>
                <w:sz w:val="21"/>
                <w:szCs w:val="21"/>
              </w:rPr>
              <w:t>全域开展</w:t>
            </w:r>
            <w:r>
              <w:rPr>
                <w:sz w:val="21"/>
                <w:szCs w:val="21"/>
              </w:rPr>
              <w:t>生活垃圾分类</w:t>
            </w:r>
            <w:r>
              <w:rPr>
                <w:rFonts w:hint="eastAsia"/>
                <w:sz w:val="21"/>
                <w:szCs w:val="21"/>
              </w:rPr>
              <w:t>示范村建设，</w:t>
            </w:r>
            <w:r>
              <w:rPr>
                <w:kern w:val="0"/>
                <w:sz w:val="21"/>
                <w:szCs w:val="21"/>
              </w:rPr>
              <w:t>新增分类收集垃圾桶，</w:t>
            </w:r>
            <w:r>
              <w:rPr>
                <w:rFonts w:hint="eastAsia"/>
                <w:kern w:val="0"/>
                <w:sz w:val="21"/>
                <w:szCs w:val="21"/>
              </w:rPr>
              <w:t>加大宣传普及力度。</w:t>
            </w:r>
          </w:p>
        </w:tc>
        <w:tc>
          <w:tcPr>
            <w:tcW w:w="1134" w:type="dxa"/>
            <w:noWrap w:val="0"/>
            <w:vAlign w:val="center"/>
          </w:tcPr>
          <w:p>
            <w:pPr>
              <w:spacing w:line="300" w:lineRule="exact"/>
              <w:jc w:val="center"/>
              <w:rPr>
                <w:sz w:val="21"/>
                <w:szCs w:val="21"/>
              </w:rPr>
            </w:pPr>
            <w:r>
              <w:rPr>
                <w:sz w:val="21"/>
                <w:szCs w:val="21"/>
              </w:rPr>
              <w:t>300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13</w:t>
            </w:r>
          </w:p>
        </w:tc>
        <w:tc>
          <w:tcPr>
            <w:tcW w:w="1917" w:type="dxa"/>
            <w:noWrap w:val="0"/>
            <w:vAlign w:val="center"/>
          </w:tcPr>
          <w:p>
            <w:pPr>
              <w:spacing w:line="300" w:lineRule="exact"/>
              <w:jc w:val="center"/>
              <w:rPr>
                <w:sz w:val="21"/>
                <w:szCs w:val="21"/>
              </w:rPr>
            </w:pPr>
            <w:r>
              <w:rPr>
                <w:sz w:val="21"/>
                <w:szCs w:val="21"/>
              </w:rPr>
              <w:t>农村生活污水处理</w:t>
            </w:r>
          </w:p>
        </w:tc>
        <w:tc>
          <w:tcPr>
            <w:tcW w:w="7481" w:type="dxa"/>
            <w:gridSpan w:val="2"/>
            <w:noWrap w:val="0"/>
            <w:vAlign w:val="center"/>
          </w:tcPr>
          <w:p>
            <w:pPr>
              <w:spacing w:line="300" w:lineRule="exact"/>
              <w:jc w:val="left"/>
              <w:rPr>
                <w:kern w:val="0"/>
                <w:sz w:val="21"/>
                <w:szCs w:val="21"/>
              </w:rPr>
            </w:pPr>
            <w:r>
              <w:rPr>
                <w:rFonts w:hint="eastAsia"/>
                <w:kern w:val="0"/>
                <w:sz w:val="21"/>
                <w:szCs w:val="21"/>
                <w:lang w:val="zh-CN"/>
              </w:rPr>
              <w:t>持续推进卫生厕所改造，完成区级下达目标任务。</w:t>
            </w:r>
          </w:p>
        </w:tc>
        <w:tc>
          <w:tcPr>
            <w:tcW w:w="1134" w:type="dxa"/>
            <w:noWrap w:val="0"/>
            <w:vAlign w:val="center"/>
          </w:tcPr>
          <w:p>
            <w:pPr>
              <w:spacing w:line="300" w:lineRule="exact"/>
              <w:jc w:val="center"/>
              <w:rPr>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left"/>
              <w:rPr>
                <w:sz w:val="21"/>
                <w:szCs w:val="21"/>
              </w:rPr>
            </w:pPr>
            <w:r>
              <w:rPr>
                <w:rFonts w:hint="eastAsia"/>
                <w:b/>
                <w:bCs/>
                <w:color w:val="000000"/>
                <w:kern w:val="0"/>
                <w:sz w:val="21"/>
                <w:szCs w:val="21"/>
              </w:rPr>
              <w:t>五</w:t>
            </w:r>
            <w:r>
              <w:rPr>
                <w:b/>
                <w:bCs/>
                <w:color w:val="000000"/>
                <w:kern w:val="0"/>
                <w:sz w:val="21"/>
                <w:szCs w:val="21"/>
              </w:rPr>
              <w:t>、生态文明与社会行动体系工程</w:t>
            </w:r>
          </w:p>
        </w:tc>
        <w:tc>
          <w:tcPr>
            <w:tcW w:w="1134" w:type="dxa"/>
            <w:noWrap w:val="0"/>
            <w:vAlign w:val="center"/>
          </w:tcPr>
          <w:p>
            <w:pPr>
              <w:spacing w:line="300" w:lineRule="exact"/>
              <w:jc w:val="center"/>
              <w:rPr>
                <w:b/>
                <w:bCs/>
                <w:sz w:val="21"/>
                <w:szCs w:val="21"/>
              </w:rPr>
            </w:pPr>
            <w:r>
              <w:rPr>
                <w:b/>
                <w:bCs/>
                <w:sz w:val="21"/>
                <w:szCs w:val="21"/>
              </w:rPr>
              <w:t>110</w:t>
            </w:r>
          </w:p>
        </w:tc>
        <w:tc>
          <w:tcPr>
            <w:tcW w:w="1229" w:type="dxa"/>
            <w:noWrap w:val="0"/>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1</w:t>
            </w:r>
            <w:r>
              <w:rPr>
                <w:rFonts w:ascii="Times New Roman" w:hAnsi="Times New Roman" w:eastAsia="方正仿宋_GBK" w:cs="Times New Roman"/>
                <w:color w:val="000000"/>
                <w:kern w:val="0"/>
                <w:sz w:val="21"/>
                <w:szCs w:val="21"/>
              </w:rPr>
              <w:t>4</w:t>
            </w:r>
          </w:p>
        </w:tc>
        <w:tc>
          <w:tcPr>
            <w:tcW w:w="1917" w:type="dxa"/>
            <w:noWrap w:val="0"/>
            <w:vAlign w:val="center"/>
          </w:tcPr>
          <w:p>
            <w:pPr>
              <w:spacing w:line="300" w:lineRule="exact"/>
              <w:jc w:val="center"/>
              <w:rPr>
                <w:sz w:val="21"/>
                <w:szCs w:val="21"/>
              </w:rPr>
            </w:pPr>
            <w:r>
              <w:rPr>
                <w:sz w:val="21"/>
                <w:szCs w:val="21"/>
              </w:rPr>
              <w:t>生态文明宣传教育</w:t>
            </w:r>
          </w:p>
        </w:tc>
        <w:tc>
          <w:tcPr>
            <w:tcW w:w="7481" w:type="dxa"/>
            <w:gridSpan w:val="2"/>
            <w:noWrap w:val="0"/>
            <w:vAlign w:val="center"/>
          </w:tcPr>
          <w:p>
            <w:pPr>
              <w:spacing w:line="300" w:lineRule="exact"/>
              <w:jc w:val="left"/>
              <w:rPr>
                <w:sz w:val="21"/>
                <w:szCs w:val="21"/>
              </w:rPr>
            </w:pPr>
            <w:r>
              <w:rPr>
                <w:sz w:val="21"/>
                <w:szCs w:val="21"/>
              </w:rPr>
              <w:t>实施生态文明宣传教育工程，开展</w:t>
            </w:r>
            <w:r>
              <w:rPr>
                <w:rFonts w:hint="eastAsia"/>
                <w:sz w:val="21"/>
                <w:szCs w:val="21"/>
              </w:rPr>
              <w:t>学校</w:t>
            </w:r>
            <w:r>
              <w:rPr>
                <w:sz w:val="21"/>
                <w:szCs w:val="21"/>
              </w:rPr>
              <w:t>生态教育课程以及</w:t>
            </w:r>
            <w:r>
              <w:rPr>
                <w:sz w:val="21"/>
                <w:szCs w:val="21"/>
                <w:lang w:val="zh-CN"/>
              </w:rPr>
              <w:t>环境教育活动</w:t>
            </w:r>
            <w:r>
              <w:rPr>
                <w:sz w:val="21"/>
                <w:szCs w:val="21"/>
              </w:rPr>
              <w:t>，组织领导干部</w:t>
            </w:r>
            <w:r>
              <w:rPr>
                <w:rFonts w:hint="eastAsia"/>
                <w:sz w:val="21"/>
                <w:szCs w:val="21"/>
              </w:rPr>
              <w:t>、</w:t>
            </w:r>
            <w:r>
              <w:rPr>
                <w:sz w:val="21"/>
                <w:szCs w:val="21"/>
              </w:rPr>
              <w:t>企业</w:t>
            </w:r>
            <w:r>
              <w:rPr>
                <w:rFonts w:hint="eastAsia"/>
                <w:sz w:val="21"/>
                <w:szCs w:val="21"/>
              </w:rPr>
              <w:t>、种植大户等开展</w:t>
            </w:r>
            <w:r>
              <w:rPr>
                <w:sz w:val="21"/>
                <w:szCs w:val="21"/>
              </w:rPr>
              <w:t>生态文明教育培训。</w:t>
            </w:r>
          </w:p>
        </w:tc>
        <w:tc>
          <w:tcPr>
            <w:tcW w:w="1134" w:type="dxa"/>
            <w:noWrap w:val="0"/>
            <w:vAlign w:val="center"/>
          </w:tcPr>
          <w:p>
            <w:pPr>
              <w:spacing w:line="300" w:lineRule="exact"/>
              <w:jc w:val="center"/>
              <w:rPr>
                <w:sz w:val="21"/>
                <w:szCs w:val="21"/>
              </w:rPr>
            </w:pPr>
            <w:r>
              <w:rPr>
                <w:sz w:val="21"/>
                <w:szCs w:val="21"/>
              </w:rPr>
              <w:t>10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15</w:t>
            </w:r>
          </w:p>
        </w:tc>
        <w:tc>
          <w:tcPr>
            <w:tcW w:w="1917" w:type="dxa"/>
            <w:noWrap w:val="0"/>
            <w:vAlign w:val="center"/>
          </w:tcPr>
          <w:p>
            <w:pPr>
              <w:spacing w:line="300" w:lineRule="exact"/>
              <w:jc w:val="center"/>
              <w:rPr>
                <w:sz w:val="21"/>
                <w:szCs w:val="21"/>
              </w:rPr>
            </w:pPr>
            <w:r>
              <w:rPr>
                <w:sz w:val="21"/>
                <w:szCs w:val="21"/>
              </w:rPr>
              <w:t>群众性生态文明示范创建</w:t>
            </w:r>
          </w:p>
        </w:tc>
        <w:tc>
          <w:tcPr>
            <w:tcW w:w="7481" w:type="dxa"/>
            <w:gridSpan w:val="2"/>
            <w:noWrap w:val="0"/>
            <w:vAlign w:val="center"/>
          </w:tcPr>
          <w:p>
            <w:pPr>
              <w:spacing w:line="300" w:lineRule="exact"/>
              <w:jc w:val="left"/>
              <w:rPr>
                <w:sz w:val="21"/>
                <w:szCs w:val="21"/>
              </w:rPr>
            </w:pPr>
            <w:r>
              <w:rPr>
                <w:sz w:val="21"/>
                <w:szCs w:val="21"/>
                <w:lang w:val="zh-CN"/>
              </w:rPr>
              <w:t>向各村（社区）发放生态文明手册、开辟报纸专栏，开展</w:t>
            </w:r>
            <w:r>
              <w:rPr>
                <w:rFonts w:hint="eastAsia"/>
                <w:sz w:val="21"/>
                <w:szCs w:val="21"/>
                <w:lang w:val="zh-CN"/>
              </w:rPr>
              <w:t>“四和一美院落”、“生态宜居清洁示范院落”、“美丽宜居</w:t>
            </w:r>
            <w:r>
              <w:rPr>
                <w:sz w:val="21"/>
                <w:szCs w:val="21"/>
                <w:lang w:val="zh-CN"/>
              </w:rPr>
              <w:t>村庄</w:t>
            </w:r>
            <w:r>
              <w:rPr>
                <w:rFonts w:hint="eastAsia"/>
                <w:sz w:val="21"/>
                <w:szCs w:val="21"/>
                <w:lang w:val="zh-CN"/>
              </w:rPr>
              <w:t>”</w:t>
            </w:r>
            <w:r>
              <w:rPr>
                <w:sz w:val="21"/>
                <w:szCs w:val="21"/>
                <w:lang w:val="zh-CN"/>
              </w:rPr>
              <w:t>、</w:t>
            </w:r>
            <w:r>
              <w:rPr>
                <w:rFonts w:hint="eastAsia"/>
                <w:sz w:val="21"/>
                <w:szCs w:val="21"/>
                <w:lang w:val="zh-CN"/>
              </w:rPr>
              <w:t>“</w:t>
            </w:r>
            <w:r>
              <w:rPr>
                <w:sz w:val="21"/>
                <w:szCs w:val="21"/>
                <w:lang w:val="zh-CN"/>
              </w:rPr>
              <w:t>绿色家庭</w:t>
            </w:r>
            <w:r>
              <w:rPr>
                <w:rFonts w:hint="eastAsia"/>
                <w:sz w:val="21"/>
                <w:szCs w:val="21"/>
                <w:lang w:val="zh-CN"/>
              </w:rPr>
              <w:t>”</w:t>
            </w:r>
            <w:r>
              <w:rPr>
                <w:sz w:val="21"/>
                <w:szCs w:val="21"/>
                <w:lang w:val="zh-CN"/>
              </w:rPr>
              <w:t>等评选活动。</w:t>
            </w:r>
          </w:p>
        </w:tc>
        <w:tc>
          <w:tcPr>
            <w:tcW w:w="1134" w:type="dxa"/>
            <w:noWrap w:val="0"/>
            <w:vAlign w:val="center"/>
          </w:tcPr>
          <w:p>
            <w:pPr>
              <w:spacing w:line="300" w:lineRule="exact"/>
              <w:jc w:val="center"/>
              <w:rPr>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center"/>
              <w:rPr>
                <w:b/>
                <w:bCs/>
                <w:sz w:val="21"/>
                <w:szCs w:val="21"/>
              </w:rPr>
            </w:pPr>
            <w:r>
              <w:rPr>
                <w:b/>
                <w:bCs/>
                <w:sz w:val="21"/>
                <w:szCs w:val="21"/>
              </w:rPr>
              <w:t>合  计</w:t>
            </w:r>
          </w:p>
        </w:tc>
        <w:tc>
          <w:tcPr>
            <w:tcW w:w="1134" w:type="dxa"/>
            <w:noWrap w:val="0"/>
            <w:vAlign w:val="center"/>
          </w:tcPr>
          <w:p>
            <w:pPr>
              <w:spacing w:line="300" w:lineRule="exact"/>
              <w:jc w:val="center"/>
              <w:rPr>
                <w:b/>
                <w:bCs/>
                <w:sz w:val="21"/>
                <w:szCs w:val="21"/>
              </w:rPr>
            </w:pPr>
            <w:r>
              <w:rPr>
                <w:rFonts w:hint="eastAsia"/>
                <w:b/>
                <w:bCs/>
                <w:sz w:val="21"/>
                <w:szCs w:val="21"/>
              </w:rPr>
              <w:t>4250</w:t>
            </w:r>
          </w:p>
        </w:tc>
        <w:tc>
          <w:tcPr>
            <w:tcW w:w="1229" w:type="dxa"/>
            <w:noWrap w:val="0"/>
            <w:vAlign w:val="center"/>
          </w:tcPr>
          <w:p>
            <w:pPr>
              <w:spacing w:line="300" w:lineRule="exact"/>
              <w:jc w:val="center"/>
              <w:rPr>
                <w:sz w:val="21"/>
                <w:szCs w:val="21"/>
              </w:rPr>
            </w:pPr>
          </w:p>
        </w:tc>
      </w:tr>
    </w:tbl>
    <w:p>
      <w:pPr>
        <w:ind w:firstLine="634" w:firstLineChars="200"/>
        <w:rPr>
          <w:szCs w:val="32"/>
        </w:rPr>
      </w:pPr>
    </w:p>
    <w:p>
      <w:pPr>
        <w:ind w:firstLine="634" w:firstLineChars="200"/>
        <w:rPr>
          <w:szCs w:val="32"/>
        </w:rPr>
      </w:pPr>
    </w:p>
    <w:p>
      <w:pPr>
        <w:ind w:firstLine="634" w:firstLineChars="200"/>
        <w:rPr>
          <w:rFonts w:hint="eastAsia"/>
          <w:szCs w:val="32"/>
        </w:rPr>
      </w:pPr>
    </w:p>
    <w:p>
      <w:pPr>
        <w:rPr>
          <w:szCs w:val="32"/>
        </w:rPr>
        <w:sectPr>
          <w:pgSz w:w="16838" w:h="11906" w:orient="landscape"/>
          <w:pgMar w:top="1588" w:right="2098" w:bottom="1474" w:left="1985" w:header="851" w:footer="992" w:gutter="0"/>
          <w:cols w:space="720" w:num="1"/>
          <w:docGrid w:type="linesAndChars" w:linePitch="579" w:charSpace="-819"/>
        </w:sectPr>
      </w:pPr>
    </w:p>
    <w:p>
      <w:pPr>
        <w:jc w:val="left"/>
        <w:outlineLvl w:val="0"/>
        <w:rPr>
          <w:rFonts w:eastAsia="方正黑体_GBK"/>
          <w:szCs w:val="32"/>
        </w:rPr>
      </w:pPr>
      <w:bookmarkStart w:id="86" w:name="_Toc106638462"/>
      <w:bookmarkStart w:id="87" w:name="_Toc106638284"/>
      <w:r>
        <w:rPr>
          <w:rFonts w:hint="eastAsia" w:eastAsia="方正黑体_GBK"/>
          <w:szCs w:val="32"/>
        </w:rPr>
        <w:t>附图：</w:t>
      </w:r>
      <w:bookmarkEnd w:id="86"/>
      <w:bookmarkEnd w:id="87"/>
    </w:p>
    <w:p>
      <w:pPr>
        <w:rPr>
          <w:rFonts w:hint="eastAsia"/>
          <w:szCs w:val="32"/>
        </w:rPr>
      </w:pPr>
      <w:r>
        <w:rPr>
          <w:rFonts w:hint="eastAsia"/>
          <w:szCs w:val="32"/>
        </w:rPr>
        <w:t>附图1</w:t>
      </w:r>
      <w:r>
        <w:rPr>
          <w:szCs w:val="32"/>
        </w:rPr>
        <w:t xml:space="preserve"> </w:t>
      </w:r>
      <w:r>
        <w:rPr>
          <w:rFonts w:hint="eastAsia"/>
          <w:szCs w:val="32"/>
        </w:rPr>
        <w:t>金龙镇在永川的区位关系图</w:t>
      </w:r>
    </w:p>
    <w:p>
      <w:pPr>
        <w:rPr>
          <w:rFonts w:hint="eastAsia"/>
          <w:szCs w:val="32"/>
        </w:rPr>
      </w:pPr>
      <w:r>
        <w:rPr>
          <w:rFonts w:hint="eastAsia"/>
          <w:szCs w:val="32"/>
        </w:rPr>
        <w:t>附图2</w:t>
      </w:r>
      <w:r>
        <w:rPr>
          <w:szCs w:val="32"/>
        </w:rPr>
        <w:t xml:space="preserve"> </w:t>
      </w:r>
      <w:r>
        <w:rPr>
          <w:rFonts w:hint="eastAsia"/>
          <w:szCs w:val="32"/>
        </w:rPr>
        <w:t>金龙镇水系图</w:t>
      </w:r>
    </w:p>
    <w:p>
      <w:pPr>
        <w:rPr>
          <w:rFonts w:hint="eastAsia"/>
          <w:szCs w:val="32"/>
        </w:rPr>
      </w:pPr>
      <w:r>
        <w:rPr>
          <w:rFonts w:hint="eastAsia"/>
          <w:szCs w:val="32"/>
        </w:rPr>
        <w:t>附图3</w:t>
      </w:r>
      <w:r>
        <w:rPr>
          <w:szCs w:val="32"/>
        </w:rPr>
        <w:t xml:space="preserve"> </w:t>
      </w:r>
      <w:r>
        <w:rPr>
          <w:rFonts w:hint="eastAsia"/>
          <w:szCs w:val="32"/>
        </w:rPr>
        <w:t>金龙镇生态保护红线和饮用水源保护区分布图</w:t>
      </w:r>
    </w:p>
    <w:p>
      <w:pPr>
        <w:rPr>
          <w:rFonts w:hint="eastAsia"/>
          <w:szCs w:val="32"/>
        </w:rPr>
      </w:pPr>
      <w:r>
        <w:rPr>
          <w:rFonts w:hint="eastAsia"/>
          <w:szCs w:val="32"/>
        </w:rPr>
        <w:t>附图4</w:t>
      </w:r>
      <w:r>
        <w:rPr>
          <w:szCs w:val="32"/>
        </w:rPr>
        <w:t xml:space="preserve"> </w:t>
      </w:r>
      <w:r>
        <w:rPr>
          <w:rFonts w:hint="eastAsia"/>
          <w:szCs w:val="32"/>
        </w:rPr>
        <w:t>金龙镇自然保护地分布图</w:t>
      </w:r>
    </w:p>
    <w:p>
      <w:pPr>
        <w:rPr>
          <w:szCs w:val="32"/>
        </w:rPr>
      </w:pPr>
      <w:r>
        <w:rPr>
          <w:rFonts w:hint="eastAsia"/>
          <w:szCs w:val="32"/>
        </w:rPr>
        <w:t>附图5</w:t>
      </w:r>
      <w:r>
        <w:rPr>
          <w:szCs w:val="32"/>
        </w:rPr>
        <w:t xml:space="preserve"> </w:t>
      </w:r>
      <w:r>
        <w:rPr>
          <w:rFonts w:hint="eastAsia"/>
          <w:szCs w:val="32"/>
        </w:rPr>
        <w:t>金龙镇重点项目分布图</w:t>
      </w:r>
    </w:p>
    <w:p>
      <w:pPr>
        <w:rPr>
          <w:szCs w:val="32"/>
        </w:rPr>
      </w:pPr>
    </w:p>
    <w:p>
      <w:pPr>
        <w:rPr>
          <w:szCs w:val="32"/>
        </w:rPr>
      </w:pPr>
    </w:p>
    <w:p>
      <w:pPr>
        <w:rPr>
          <w:rFonts w:hint="eastAsia"/>
          <w:szCs w:val="32"/>
        </w:rPr>
      </w:pPr>
    </w:p>
    <w:p>
      <w:pPr>
        <w:rPr>
          <w:szCs w:val="32"/>
        </w:rPr>
      </w:pPr>
      <w:r>
        <w:rPr>
          <w:szCs w:val="32"/>
        </w:rPr>
        <w:drawing>
          <wp:inline distT="0" distB="0" distL="114300" distR="114300">
            <wp:extent cx="5608955" cy="7933690"/>
            <wp:effectExtent l="0" t="0" r="10795" b="10160"/>
            <wp:docPr id="7" name="图片 7" descr="1金龙镇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金龙镇区位图"/>
                    <pic:cNvPicPr>
                      <a:picLocks noChangeAspect="1"/>
                    </pic:cNvPicPr>
                  </pic:nvPicPr>
                  <pic:blipFill>
                    <a:blip r:embed="rId17"/>
                    <a:stretch>
                      <a:fillRect/>
                    </a:stretch>
                  </pic:blipFill>
                  <pic:spPr>
                    <a:xfrm>
                      <a:off x="0" y="0"/>
                      <a:ext cx="5608955" cy="7933690"/>
                    </a:xfrm>
                    <a:prstGeom prst="rect">
                      <a:avLst/>
                    </a:prstGeom>
                    <a:noFill/>
                    <a:ln>
                      <a:noFill/>
                    </a:ln>
                  </pic:spPr>
                </pic:pic>
              </a:graphicData>
            </a:graphic>
          </wp:inline>
        </w:drawing>
      </w:r>
    </w:p>
    <w:p>
      <w:pPr>
        <w:rPr>
          <w:szCs w:val="32"/>
        </w:rPr>
      </w:pPr>
      <w:r>
        <w:rPr>
          <w:szCs w:val="32"/>
        </w:rPr>
        <w:drawing>
          <wp:inline distT="0" distB="0" distL="114300" distR="114300">
            <wp:extent cx="5608955" cy="7933690"/>
            <wp:effectExtent l="0" t="0" r="10795" b="10160"/>
            <wp:docPr id="8" name="图片 8" descr="2金龙镇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金龙镇水系图"/>
                    <pic:cNvPicPr>
                      <a:picLocks noChangeAspect="1"/>
                    </pic:cNvPicPr>
                  </pic:nvPicPr>
                  <pic:blipFill>
                    <a:blip r:embed="rId18"/>
                    <a:stretch>
                      <a:fillRect/>
                    </a:stretch>
                  </pic:blipFill>
                  <pic:spPr>
                    <a:xfrm>
                      <a:off x="0" y="0"/>
                      <a:ext cx="5608955" cy="7933690"/>
                    </a:xfrm>
                    <a:prstGeom prst="rect">
                      <a:avLst/>
                    </a:prstGeom>
                    <a:noFill/>
                    <a:ln>
                      <a:noFill/>
                    </a:ln>
                  </pic:spPr>
                </pic:pic>
              </a:graphicData>
            </a:graphic>
          </wp:inline>
        </w:drawing>
      </w:r>
    </w:p>
    <w:p>
      <w:pPr>
        <w:rPr>
          <w:szCs w:val="32"/>
        </w:rPr>
      </w:pPr>
      <w:r>
        <w:rPr>
          <w:szCs w:val="32"/>
        </w:rPr>
        <w:drawing>
          <wp:inline distT="0" distB="0" distL="114300" distR="114300">
            <wp:extent cx="5638800" cy="7954645"/>
            <wp:effectExtent l="0" t="0" r="0" b="8255"/>
            <wp:docPr id="9" name="图片 9" descr="3金龙镇生态红线和水源保护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金龙镇生态红线和水源保护区图"/>
                    <pic:cNvPicPr>
                      <a:picLocks noChangeAspect="1"/>
                    </pic:cNvPicPr>
                  </pic:nvPicPr>
                  <pic:blipFill>
                    <a:blip r:embed="rId19"/>
                    <a:stretch>
                      <a:fillRect/>
                    </a:stretch>
                  </pic:blipFill>
                  <pic:spPr>
                    <a:xfrm>
                      <a:off x="0" y="0"/>
                      <a:ext cx="5638800" cy="7954645"/>
                    </a:xfrm>
                    <a:prstGeom prst="rect">
                      <a:avLst/>
                    </a:prstGeom>
                    <a:noFill/>
                    <a:ln>
                      <a:noFill/>
                    </a:ln>
                  </pic:spPr>
                </pic:pic>
              </a:graphicData>
            </a:graphic>
          </wp:inline>
        </w:drawing>
      </w:r>
    </w:p>
    <w:p>
      <w:pPr>
        <w:rPr>
          <w:szCs w:val="32"/>
        </w:rPr>
      </w:pPr>
      <w:r>
        <w:rPr>
          <w:szCs w:val="32"/>
        </w:rPr>
        <w:drawing>
          <wp:inline distT="0" distB="0" distL="114300" distR="114300">
            <wp:extent cx="5638800" cy="7987030"/>
            <wp:effectExtent l="0" t="0" r="0" b="13970"/>
            <wp:docPr id="10" name="图片 10" descr="4金龙镇自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金龙镇自然保护地分布图"/>
                    <pic:cNvPicPr>
                      <a:picLocks noChangeAspect="1"/>
                    </pic:cNvPicPr>
                  </pic:nvPicPr>
                  <pic:blipFill>
                    <a:blip r:embed="rId20"/>
                    <a:stretch>
                      <a:fillRect/>
                    </a:stretch>
                  </pic:blipFill>
                  <pic:spPr>
                    <a:xfrm>
                      <a:off x="0" y="0"/>
                      <a:ext cx="5638800" cy="7987030"/>
                    </a:xfrm>
                    <a:prstGeom prst="rect">
                      <a:avLst/>
                    </a:prstGeom>
                    <a:noFill/>
                    <a:ln>
                      <a:noFill/>
                    </a:ln>
                  </pic:spPr>
                </pic:pic>
              </a:graphicData>
            </a:graphic>
          </wp:inline>
        </w:drawing>
      </w:r>
    </w:p>
    <w:p>
      <w:pPr>
        <w:rPr>
          <w:rFonts w:hint="eastAsia"/>
          <w:szCs w:val="32"/>
        </w:rPr>
      </w:pPr>
      <w:r>
        <w:rPr>
          <w:szCs w:val="32"/>
        </w:rPr>
        <w:drawing>
          <wp:inline distT="0" distB="0" distL="114300" distR="114300">
            <wp:extent cx="5631180" cy="7965440"/>
            <wp:effectExtent l="0" t="0" r="7620" b="16510"/>
            <wp:docPr id="11" name="图片 11" descr="5金龙镇重点项目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金龙镇重点项目分布图"/>
                    <pic:cNvPicPr>
                      <a:picLocks noChangeAspect="1"/>
                    </pic:cNvPicPr>
                  </pic:nvPicPr>
                  <pic:blipFill>
                    <a:blip r:embed="rId21"/>
                    <a:stretch>
                      <a:fillRect/>
                    </a:stretch>
                  </pic:blipFill>
                  <pic:spPr>
                    <a:xfrm>
                      <a:off x="0" y="0"/>
                      <a:ext cx="5631180" cy="7965440"/>
                    </a:xfrm>
                    <a:prstGeom prst="rect">
                      <a:avLst/>
                    </a:prstGeom>
                    <a:noFill/>
                    <a:ln>
                      <a:noFill/>
                    </a:ln>
                  </pic:spPr>
                </pic:pic>
              </a:graphicData>
            </a:graphic>
          </wp:inline>
        </w:drawing>
      </w:r>
    </w:p>
    <w:sectPr>
      <w:pgSz w:w="11906" w:h="16838"/>
      <w:pgMar w:top="2098" w:right="1474" w:bottom="1985" w:left="1588" w:header="851" w:footer="992" w:gutter="0"/>
      <w:cols w:space="720" w:num="1"/>
      <w:docGrid w:type="linesAndChars" w:linePitch="579" w:charSpace="-8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A0204"/>
    <w:charset w:val="00"/>
    <w:family w:val="roman"/>
    <w:pitch w:val="default"/>
    <w:sig w:usb0="E00002FF" w:usb1="4000045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sz w:val="28"/>
        <w:szCs w:val="28"/>
      </w:rPr>
    </w:pPr>
    <w:r>
      <w:rPr>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8"/>
        <w:szCs w:val="28"/>
      </w:rPr>
    </w:pPr>
    <w:r>
      <w:rPr>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sz w:val="28"/>
        <w:szCs w:val="28"/>
      </w:rPr>
    </w:pPr>
    <w:r>
      <w:rPr>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15</w:t>
    </w:r>
    <w:r>
      <w:rPr>
        <w:sz w:val="28"/>
        <w:szCs w:val="28"/>
      </w:rPr>
      <w:fldChar w:fldCharType="end"/>
    </w:r>
    <w:r>
      <w:rPr>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8"/>
        <w:szCs w:val="28"/>
      </w:rPr>
    </w:pPr>
    <w:r>
      <w:rPr>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16</w:t>
    </w:r>
    <w:r>
      <w:rPr>
        <w:sz w:val="28"/>
        <w:szCs w:val="28"/>
      </w:rPr>
      <w:fldChar w:fldCharType="end"/>
    </w:r>
    <w:r>
      <w:rPr>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evenAndOddHeaders w:val="1"/>
  <w:drawingGridHorizontalSpacing w:val="158"/>
  <w:drawingGridVerticalSpacing w:val="579"/>
  <w:displayHorizontalDrawingGridEvery w:val="0"/>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5ZDVhNDM0ZjM5ODc2OWJmNWU0MzY0MWZkZTQzZWIifQ=="/>
  </w:docVars>
  <w:rsids>
    <w:rsidRoot w:val="006B6772"/>
    <w:rsid w:val="00002B62"/>
    <w:rsid w:val="000159EC"/>
    <w:rsid w:val="00016066"/>
    <w:rsid w:val="00016793"/>
    <w:rsid w:val="00046993"/>
    <w:rsid w:val="00047F6B"/>
    <w:rsid w:val="00052C10"/>
    <w:rsid w:val="00054032"/>
    <w:rsid w:val="00056DAA"/>
    <w:rsid w:val="00061525"/>
    <w:rsid w:val="0006269B"/>
    <w:rsid w:val="0006356F"/>
    <w:rsid w:val="00067187"/>
    <w:rsid w:val="00071580"/>
    <w:rsid w:val="00084B44"/>
    <w:rsid w:val="000852FE"/>
    <w:rsid w:val="00092157"/>
    <w:rsid w:val="000B4673"/>
    <w:rsid w:val="000C1995"/>
    <w:rsid w:val="000C1E3E"/>
    <w:rsid w:val="000C4FB9"/>
    <w:rsid w:val="000D216E"/>
    <w:rsid w:val="000E1E57"/>
    <w:rsid w:val="00104B50"/>
    <w:rsid w:val="00110A58"/>
    <w:rsid w:val="00112593"/>
    <w:rsid w:val="00133802"/>
    <w:rsid w:val="0013439A"/>
    <w:rsid w:val="00136318"/>
    <w:rsid w:val="00137957"/>
    <w:rsid w:val="00157C86"/>
    <w:rsid w:val="00161C8B"/>
    <w:rsid w:val="001635AF"/>
    <w:rsid w:val="00163712"/>
    <w:rsid w:val="001662AC"/>
    <w:rsid w:val="00170319"/>
    <w:rsid w:val="001703E6"/>
    <w:rsid w:val="001946DC"/>
    <w:rsid w:val="001B0DB1"/>
    <w:rsid w:val="001C1502"/>
    <w:rsid w:val="001F6243"/>
    <w:rsid w:val="0020390A"/>
    <w:rsid w:val="002127A9"/>
    <w:rsid w:val="002206F3"/>
    <w:rsid w:val="002259F4"/>
    <w:rsid w:val="00226928"/>
    <w:rsid w:val="002343E8"/>
    <w:rsid w:val="00244030"/>
    <w:rsid w:val="002448CE"/>
    <w:rsid w:val="00252B41"/>
    <w:rsid w:val="00256782"/>
    <w:rsid w:val="0026060B"/>
    <w:rsid w:val="00261F84"/>
    <w:rsid w:val="002708DB"/>
    <w:rsid w:val="00273CCE"/>
    <w:rsid w:val="00276582"/>
    <w:rsid w:val="00280529"/>
    <w:rsid w:val="002868F4"/>
    <w:rsid w:val="00293623"/>
    <w:rsid w:val="00294113"/>
    <w:rsid w:val="00295D68"/>
    <w:rsid w:val="002972B4"/>
    <w:rsid w:val="002A0FF0"/>
    <w:rsid w:val="002B12A3"/>
    <w:rsid w:val="002B4D2A"/>
    <w:rsid w:val="002B4EA9"/>
    <w:rsid w:val="002B6B53"/>
    <w:rsid w:val="002C0E0F"/>
    <w:rsid w:val="002C7386"/>
    <w:rsid w:val="002D3126"/>
    <w:rsid w:val="002E5BA3"/>
    <w:rsid w:val="00301276"/>
    <w:rsid w:val="00307653"/>
    <w:rsid w:val="0031077E"/>
    <w:rsid w:val="003107D6"/>
    <w:rsid w:val="00310D63"/>
    <w:rsid w:val="00317C82"/>
    <w:rsid w:val="003223A1"/>
    <w:rsid w:val="00324FCE"/>
    <w:rsid w:val="003277C8"/>
    <w:rsid w:val="00340F3C"/>
    <w:rsid w:val="0036123E"/>
    <w:rsid w:val="003709F0"/>
    <w:rsid w:val="00380A55"/>
    <w:rsid w:val="00382F35"/>
    <w:rsid w:val="003870F3"/>
    <w:rsid w:val="0038771D"/>
    <w:rsid w:val="003918A8"/>
    <w:rsid w:val="00397705"/>
    <w:rsid w:val="003B3162"/>
    <w:rsid w:val="003C11E9"/>
    <w:rsid w:val="003C3876"/>
    <w:rsid w:val="003C44CF"/>
    <w:rsid w:val="003C75E0"/>
    <w:rsid w:val="003E2F57"/>
    <w:rsid w:val="003F3E94"/>
    <w:rsid w:val="00410E69"/>
    <w:rsid w:val="00445D45"/>
    <w:rsid w:val="004503D4"/>
    <w:rsid w:val="004564B6"/>
    <w:rsid w:val="0046193D"/>
    <w:rsid w:val="00464F03"/>
    <w:rsid w:val="00466A3A"/>
    <w:rsid w:val="00473EB4"/>
    <w:rsid w:val="00475B0D"/>
    <w:rsid w:val="00480BD4"/>
    <w:rsid w:val="00492A7E"/>
    <w:rsid w:val="00493611"/>
    <w:rsid w:val="004A38B0"/>
    <w:rsid w:val="004A4C11"/>
    <w:rsid w:val="004C24DC"/>
    <w:rsid w:val="004C4AAB"/>
    <w:rsid w:val="004D0159"/>
    <w:rsid w:val="004D58B9"/>
    <w:rsid w:val="004E3E4D"/>
    <w:rsid w:val="004E4B52"/>
    <w:rsid w:val="004F2E3C"/>
    <w:rsid w:val="004F6911"/>
    <w:rsid w:val="0050140E"/>
    <w:rsid w:val="00505B69"/>
    <w:rsid w:val="00512CC6"/>
    <w:rsid w:val="00520378"/>
    <w:rsid w:val="00527C54"/>
    <w:rsid w:val="0053067C"/>
    <w:rsid w:val="00532538"/>
    <w:rsid w:val="0054043A"/>
    <w:rsid w:val="005410F8"/>
    <w:rsid w:val="0054375B"/>
    <w:rsid w:val="005547E1"/>
    <w:rsid w:val="0055571E"/>
    <w:rsid w:val="0055653C"/>
    <w:rsid w:val="00567506"/>
    <w:rsid w:val="00576281"/>
    <w:rsid w:val="0057794A"/>
    <w:rsid w:val="00583841"/>
    <w:rsid w:val="00585CF0"/>
    <w:rsid w:val="005A0557"/>
    <w:rsid w:val="005B1869"/>
    <w:rsid w:val="005B6A02"/>
    <w:rsid w:val="005B7E96"/>
    <w:rsid w:val="005C3D7F"/>
    <w:rsid w:val="005E317C"/>
    <w:rsid w:val="00607302"/>
    <w:rsid w:val="00607495"/>
    <w:rsid w:val="00610B10"/>
    <w:rsid w:val="00612738"/>
    <w:rsid w:val="00624B73"/>
    <w:rsid w:val="006262E4"/>
    <w:rsid w:val="00645ECF"/>
    <w:rsid w:val="00645ED3"/>
    <w:rsid w:val="00656344"/>
    <w:rsid w:val="00670656"/>
    <w:rsid w:val="006729DC"/>
    <w:rsid w:val="00692C6D"/>
    <w:rsid w:val="00693F7E"/>
    <w:rsid w:val="00694D40"/>
    <w:rsid w:val="006A1CD4"/>
    <w:rsid w:val="006A1D82"/>
    <w:rsid w:val="006A2312"/>
    <w:rsid w:val="006A7905"/>
    <w:rsid w:val="006B6772"/>
    <w:rsid w:val="006C0BEE"/>
    <w:rsid w:val="006C4AC8"/>
    <w:rsid w:val="006D44B1"/>
    <w:rsid w:val="006D51FC"/>
    <w:rsid w:val="006F55A5"/>
    <w:rsid w:val="00703BC8"/>
    <w:rsid w:val="00704DDA"/>
    <w:rsid w:val="00707A6B"/>
    <w:rsid w:val="00711BC7"/>
    <w:rsid w:val="0071337C"/>
    <w:rsid w:val="00713705"/>
    <w:rsid w:val="00714BCB"/>
    <w:rsid w:val="007166C7"/>
    <w:rsid w:val="007301EC"/>
    <w:rsid w:val="00732841"/>
    <w:rsid w:val="00734B53"/>
    <w:rsid w:val="00737B65"/>
    <w:rsid w:val="00740715"/>
    <w:rsid w:val="00740E4B"/>
    <w:rsid w:val="00741EA2"/>
    <w:rsid w:val="00742915"/>
    <w:rsid w:val="00745C50"/>
    <w:rsid w:val="0075355A"/>
    <w:rsid w:val="007559D5"/>
    <w:rsid w:val="0075622E"/>
    <w:rsid w:val="00760A9A"/>
    <w:rsid w:val="00763070"/>
    <w:rsid w:val="00763DA4"/>
    <w:rsid w:val="00766055"/>
    <w:rsid w:val="00772B1A"/>
    <w:rsid w:val="007735AA"/>
    <w:rsid w:val="00777DE7"/>
    <w:rsid w:val="00785DC9"/>
    <w:rsid w:val="00791C61"/>
    <w:rsid w:val="007944B4"/>
    <w:rsid w:val="00795EFC"/>
    <w:rsid w:val="007A50A5"/>
    <w:rsid w:val="007A64B5"/>
    <w:rsid w:val="007A7258"/>
    <w:rsid w:val="007B2B74"/>
    <w:rsid w:val="007B79BA"/>
    <w:rsid w:val="007C48E1"/>
    <w:rsid w:val="007C692B"/>
    <w:rsid w:val="007D004D"/>
    <w:rsid w:val="007D231F"/>
    <w:rsid w:val="007D4633"/>
    <w:rsid w:val="007E7C47"/>
    <w:rsid w:val="00800F07"/>
    <w:rsid w:val="00802F03"/>
    <w:rsid w:val="00811337"/>
    <w:rsid w:val="008116A9"/>
    <w:rsid w:val="00814C3E"/>
    <w:rsid w:val="008159F4"/>
    <w:rsid w:val="00815DE2"/>
    <w:rsid w:val="00826484"/>
    <w:rsid w:val="00833813"/>
    <w:rsid w:val="0083619F"/>
    <w:rsid w:val="008369F5"/>
    <w:rsid w:val="00842980"/>
    <w:rsid w:val="008600AE"/>
    <w:rsid w:val="0087043E"/>
    <w:rsid w:val="00872E3B"/>
    <w:rsid w:val="00873B1F"/>
    <w:rsid w:val="00876DF2"/>
    <w:rsid w:val="0089463E"/>
    <w:rsid w:val="008A1A29"/>
    <w:rsid w:val="008B38AA"/>
    <w:rsid w:val="008B4908"/>
    <w:rsid w:val="008B6C20"/>
    <w:rsid w:val="008C0192"/>
    <w:rsid w:val="008D6F0F"/>
    <w:rsid w:val="008E4583"/>
    <w:rsid w:val="008F006E"/>
    <w:rsid w:val="008F0391"/>
    <w:rsid w:val="008F0C56"/>
    <w:rsid w:val="008F6ADA"/>
    <w:rsid w:val="00910FA0"/>
    <w:rsid w:val="00912931"/>
    <w:rsid w:val="009153A7"/>
    <w:rsid w:val="00921240"/>
    <w:rsid w:val="00922451"/>
    <w:rsid w:val="00923250"/>
    <w:rsid w:val="0092506B"/>
    <w:rsid w:val="00925C8E"/>
    <w:rsid w:val="00932A2D"/>
    <w:rsid w:val="00934173"/>
    <w:rsid w:val="009344AE"/>
    <w:rsid w:val="00940BAF"/>
    <w:rsid w:val="00957DE4"/>
    <w:rsid w:val="00964CA3"/>
    <w:rsid w:val="009759D6"/>
    <w:rsid w:val="00981F01"/>
    <w:rsid w:val="00984F1D"/>
    <w:rsid w:val="009927E7"/>
    <w:rsid w:val="00992EFA"/>
    <w:rsid w:val="009A3A81"/>
    <w:rsid w:val="009B1034"/>
    <w:rsid w:val="009B2A34"/>
    <w:rsid w:val="009C5659"/>
    <w:rsid w:val="009E65F6"/>
    <w:rsid w:val="009F55AB"/>
    <w:rsid w:val="00A00910"/>
    <w:rsid w:val="00A018F9"/>
    <w:rsid w:val="00A02645"/>
    <w:rsid w:val="00A02946"/>
    <w:rsid w:val="00A04D31"/>
    <w:rsid w:val="00A117ED"/>
    <w:rsid w:val="00A16676"/>
    <w:rsid w:val="00A34DBA"/>
    <w:rsid w:val="00A51EC2"/>
    <w:rsid w:val="00A52C18"/>
    <w:rsid w:val="00A53874"/>
    <w:rsid w:val="00A87AB0"/>
    <w:rsid w:val="00A920F2"/>
    <w:rsid w:val="00AA14B5"/>
    <w:rsid w:val="00AA3051"/>
    <w:rsid w:val="00AA305C"/>
    <w:rsid w:val="00AA58D7"/>
    <w:rsid w:val="00AA71F9"/>
    <w:rsid w:val="00AB08A1"/>
    <w:rsid w:val="00AB3D66"/>
    <w:rsid w:val="00AC26A9"/>
    <w:rsid w:val="00AC5DAE"/>
    <w:rsid w:val="00AC6BE0"/>
    <w:rsid w:val="00AC72A3"/>
    <w:rsid w:val="00AD0644"/>
    <w:rsid w:val="00AD1C3A"/>
    <w:rsid w:val="00AD6FC2"/>
    <w:rsid w:val="00AE2654"/>
    <w:rsid w:val="00AE3A64"/>
    <w:rsid w:val="00AE75F5"/>
    <w:rsid w:val="00AE7A14"/>
    <w:rsid w:val="00AF728C"/>
    <w:rsid w:val="00B0539D"/>
    <w:rsid w:val="00B07771"/>
    <w:rsid w:val="00B119B0"/>
    <w:rsid w:val="00B22CF1"/>
    <w:rsid w:val="00B274DA"/>
    <w:rsid w:val="00B27A7A"/>
    <w:rsid w:val="00B3200E"/>
    <w:rsid w:val="00B32435"/>
    <w:rsid w:val="00B32619"/>
    <w:rsid w:val="00B328B3"/>
    <w:rsid w:val="00B33631"/>
    <w:rsid w:val="00B4002F"/>
    <w:rsid w:val="00B5177B"/>
    <w:rsid w:val="00B5539A"/>
    <w:rsid w:val="00B57FD8"/>
    <w:rsid w:val="00B6154C"/>
    <w:rsid w:val="00B65862"/>
    <w:rsid w:val="00B71AA4"/>
    <w:rsid w:val="00B71C18"/>
    <w:rsid w:val="00B82C06"/>
    <w:rsid w:val="00B84A70"/>
    <w:rsid w:val="00B86C67"/>
    <w:rsid w:val="00B908A2"/>
    <w:rsid w:val="00B94D31"/>
    <w:rsid w:val="00B97D20"/>
    <w:rsid w:val="00BA53DE"/>
    <w:rsid w:val="00BA53FF"/>
    <w:rsid w:val="00BA70A1"/>
    <w:rsid w:val="00BB04F2"/>
    <w:rsid w:val="00BC1970"/>
    <w:rsid w:val="00BC4990"/>
    <w:rsid w:val="00BD1CA4"/>
    <w:rsid w:val="00BD20F2"/>
    <w:rsid w:val="00BE4112"/>
    <w:rsid w:val="00BE4CDC"/>
    <w:rsid w:val="00BE4CEB"/>
    <w:rsid w:val="00BE735F"/>
    <w:rsid w:val="00BF1C5B"/>
    <w:rsid w:val="00BF5E6C"/>
    <w:rsid w:val="00C04F0E"/>
    <w:rsid w:val="00C100F3"/>
    <w:rsid w:val="00C251F1"/>
    <w:rsid w:val="00C36969"/>
    <w:rsid w:val="00C3756F"/>
    <w:rsid w:val="00C47249"/>
    <w:rsid w:val="00C51CD4"/>
    <w:rsid w:val="00C5600D"/>
    <w:rsid w:val="00C60205"/>
    <w:rsid w:val="00C63297"/>
    <w:rsid w:val="00C63A3F"/>
    <w:rsid w:val="00C7154F"/>
    <w:rsid w:val="00C745F5"/>
    <w:rsid w:val="00C77DF8"/>
    <w:rsid w:val="00C8791E"/>
    <w:rsid w:val="00C969C3"/>
    <w:rsid w:val="00CB7303"/>
    <w:rsid w:val="00CC28A4"/>
    <w:rsid w:val="00CC5F85"/>
    <w:rsid w:val="00CD0ED9"/>
    <w:rsid w:val="00CD174B"/>
    <w:rsid w:val="00CD3FBF"/>
    <w:rsid w:val="00CE091D"/>
    <w:rsid w:val="00CF4051"/>
    <w:rsid w:val="00CF6268"/>
    <w:rsid w:val="00D00406"/>
    <w:rsid w:val="00D1270E"/>
    <w:rsid w:val="00D15ACC"/>
    <w:rsid w:val="00D21A6E"/>
    <w:rsid w:val="00D21B67"/>
    <w:rsid w:val="00D346D9"/>
    <w:rsid w:val="00D347DF"/>
    <w:rsid w:val="00D34C18"/>
    <w:rsid w:val="00D407F2"/>
    <w:rsid w:val="00D414A1"/>
    <w:rsid w:val="00D4373C"/>
    <w:rsid w:val="00D44D38"/>
    <w:rsid w:val="00D54DB2"/>
    <w:rsid w:val="00D60A0C"/>
    <w:rsid w:val="00D64B2C"/>
    <w:rsid w:val="00D651EA"/>
    <w:rsid w:val="00D72335"/>
    <w:rsid w:val="00D730DF"/>
    <w:rsid w:val="00D85EC4"/>
    <w:rsid w:val="00D963A1"/>
    <w:rsid w:val="00D97655"/>
    <w:rsid w:val="00DA26A4"/>
    <w:rsid w:val="00DA62CB"/>
    <w:rsid w:val="00DB7F9F"/>
    <w:rsid w:val="00DD2795"/>
    <w:rsid w:val="00DE1D53"/>
    <w:rsid w:val="00DE24CF"/>
    <w:rsid w:val="00DE32BA"/>
    <w:rsid w:val="00DF7737"/>
    <w:rsid w:val="00E00A21"/>
    <w:rsid w:val="00E00BC0"/>
    <w:rsid w:val="00E02E76"/>
    <w:rsid w:val="00E03913"/>
    <w:rsid w:val="00E07B74"/>
    <w:rsid w:val="00E11140"/>
    <w:rsid w:val="00E121FC"/>
    <w:rsid w:val="00E20F7C"/>
    <w:rsid w:val="00E3289F"/>
    <w:rsid w:val="00E373AB"/>
    <w:rsid w:val="00E4176F"/>
    <w:rsid w:val="00E46B42"/>
    <w:rsid w:val="00E50A6C"/>
    <w:rsid w:val="00E55305"/>
    <w:rsid w:val="00E60CCB"/>
    <w:rsid w:val="00E67E3A"/>
    <w:rsid w:val="00E71FDA"/>
    <w:rsid w:val="00E7614D"/>
    <w:rsid w:val="00E8036F"/>
    <w:rsid w:val="00E82F4C"/>
    <w:rsid w:val="00E929B7"/>
    <w:rsid w:val="00EA3FA3"/>
    <w:rsid w:val="00EA42E4"/>
    <w:rsid w:val="00EB2451"/>
    <w:rsid w:val="00EC1A8F"/>
    <w:rsid w:val="00EC3F27"/>
    <w:rsid w:val="00EF12C9"/>
    <w:rsid w:val="00EF2569"/>
    <w:rsid w:val="00F02134"/>
    <w:rsid w:val="00F222C7"/>
    <w:rsid w:val="00F34A18"/>
    <w:rsid w:val="00F36416"/>
    <w:rsid w:val="00F36E8B"/>
    <w:rsid w:val="00F45FD3"/>
    <w:rsid w:val="00F6142D"/>
    <w:rsid w:val="00F62278"/>
    <w:rsid w:val="00F739F0"/>
    <w:rsid w:val="00F743DC"/>
    <w:rsid w:val="00F93BE4"/>
    <w:rsid w:val="00F96C0C"/>
    <w:rsid w:val="00FA279A"/>
    <w:rsid w:val="00FA302E"/>
    <w:rsid w:val="00FB2436"/>
    <w:rsid w:val="00FB330D"/>
    <w:rsid w:val="00FC0C44"/>
    <w:rsid w:val="00FC1F40"/>
    <w:rsid w:val="00FC7771"/>
    <w:rsid w:val="00FD0D0B"/>
    <w:rsid w:val="00FD41BE"/>
    <w:rsid w:val="00FD738E"/>
    <w:rsid w:val="00FE42D3"/>
    <w:rsid w:val="00FF0152"/>
    <w:rsid w:val="00FF03F5"/>
    <w:rsid w:val="00FF6357"/>
    <w:rsid w:val="02813487"/>
    <w:rsid w:val="110F7B9B"/>
    <w:rsid w:val="18556261"/>
    <w:rsid w:val="2E4272F0"/>
    <w:rsid w:val="32442051"/>
    <w:rsid w:val="381E46D4"/>
    <w:rsid w:val="42B1542B"/>
    <w:rsid w:val="44E3774E"/>
    <w:rsid w:val="45FD430E"/>
    <w:rsid w:val="4DCC1CCB"/>
    <w:rsid w:val="5816592B"/>
    <w:rsid w:val="5CC865D3"/>
    <w:rsid w:val="5D7F3B55"/>
    <w:rsid w:val="5F340D47"/>
    <w:rsid w:val="61AD00BB"/>
    <w:rsid w:val="6848008D"/>
    <w:rsid w:val="73D72381"/>
    <w:rsid w:val="755E49E4"/>
    <w:rsid w:val="7A75678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22"/>
      <w:lang w:val="en-US" w:eastAsia="zh-CN" w:bidi="ar-SA"/>
    </w:rPr>
  </w:style>
  <w:style w:type="paragraph" w:styleId="2">
    <w:name w:val="heading 4"/>
    <w:basedOn w:val="1"/>
    <w:next w:val="1"/>
    <w:link w:val="15"/>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3">
    <w:name w:val="Body Text Indent"/>
    <w:basedOn w:val="1"/>
    <w:link w:val="16"/>
    <w:unhideWhenUsed/>
    <w:qFormat/>
    <w:uiPriority w:val="99"/>
    <w:pPr>
      <w:spacing w:after="120"/>
      <w:ind w:left="420" w:leftChars="200"/>
    </w:pPr>
  </w:style>
  <w:style w:type="paragraph" w:styleId="4">
    <w:name w:val="toc 3"/>
    <w:basedOn w:val="1"/>
    <w:next w:val="1"/>
    <w:unhideWhenUsed/>
    <w:qFormat/>
    <w:uiPriority w:val="39"/>
    <w:pPr>
      <w:ind w:left="840" w:leftChars="400"/>
    </w:pPr>
  </w:style>
  <w:style w:type="paragraph" w:styleId="5">
    <w:name w:val="Date"/>
    <w:basedOn w:val="1"/>
    <w:next w:val="1"/>
    <w:link w:val="17"/>
    <w:unhideWhenUsed/>
    <w:qFormat/>
    <w:uiPriority w:val="99"/>
    <w:pPr>
      <w:ind w:left="100" w:leftChars="2500"/>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Body Text First Indent 2"/>
    <w:basedOn w:val="3"/>
    <w:link w:val="20"/>
    <w:unhideWhenUsed/>
    <w:qFormat/>
    <w:uiPriority w:val="99"/>
    <w:pPr>
      <w:ind w:firstLine="420" w:firstLineChars="200"/>
    </w:p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unhideWhenUsed/>
    <w:qFormat/>
    <w:uiPriority w:val="99"/>
    <w:rPr>
      <w:color w:val="0563C1"/>
      <w:u w:val="single"/>
    </w:rPr>
  </w:style>
  <w:style w:type="character" w:customStyle="1" w:styleId="15">
    <w:name w:val="标题 4 字符"/>
    <w:link w:val="2"/>
    <w:semiHidden/>
    <w:qFormat/>
    <w:uiPriority w:val="9"/>
    <w:rPr>
      <w:rFonts w:ascii="等线 Light" w:hAnsi="等线 Light" w:eastAsia="等线 Light" w:cs="Times New Roman"/>
      <w:b/>
      <w:bCs/>
      <w:kern w:val="2"/>
      <w:sz w:val="28"/>
      <w:szCs w:val="28"/>
    </w:rPr>
  </w:style>
  <w:style w:type="character" w:customStyle="1" w:styleId="16">
    <w:name w:val="正文文本缩进 字符"/>
    <w:link w:val="3"/>
    <w:semiHidden/>
    <w:qFormat/>
    <w:uiPriority w:val="99"/>
    <w:rPr>
      <w:kern w:val="2"/>
      <w:sz w:val="21"/>
      <w:szCs w:val="22"/>
    </w:rPr>
  </w:style>
  <w:style w:type="character" w:customStyle="1" w:styleId="17">
    <w:name w:val="日期 字符"/>
    <w:link w:val="5"/>
    <w:semiHidden/>
    <w:qFormat/>
    <w:uiPriority w:val="99"/>
    <w:rPr>
      <w:kern w:val="2"/>
      <w:sz w:val="21"/>
      <w:szCs w:val="22"/>
    </w:rPr>
  </w:style>
  <w:style w:type="character" w:customStyle="1" w:styleId="18">
    <w:name w:val="页脚 字符"/>
    <w:link w:val="6"/>
    <w:qFormat/>
    <w:uiPriority w:val="99"/>
    <w:rPr>
      <w:sz w:val="18"/>
      <w:szCs w:val="18"/>
    </w:rPr>
  </w:style>
  <w:style w:type="character" w:customStyle="1" w:styleId="19">
    <w:name w:val="页眉 字符"/>
    <w:link w:val="7"/>
    <w:qFormat/>
    <w:uiPriority w:val="99"/>
    <w:rPr>
      <w:sz w:val="18"/>
      <w:szCs w:val="18"/>
    </w:rPr>
  </w:style>
  <w:style w:type="character" w:customStyle="1" w:styleId="20">
    <w:name w:val="正文文本首行缩进 2 字符"/>
    <w:link w:val="10"/>
    <w:semiHidden/>
    <w:qFormat/>
    <w:uiPriority w:val="99"/>
  </w:style>
  <w:style w:type="paragraph" w:customStyle="1" w:styleId="21">
    <w:name w:val="_Style 19"/>
    <w:basedOn w:val="3"/>
    <w:next w:val="10"/>
    <w:qFormat/>
    <w:uiPriority w:val="0"/>
    <w:pPr>
      <w:ind w:firstLine="420" w:firstLineChars="200"/>
    </w:pPr>
    <w:rPr>
      <w:rFonts w:ascii="宋体" w:hAnsi="宋体" w:eastAsia="宋体"/>
      <w:sz w:val="24"/>
      <w:szCs w:val="24"/>
    </w:rPr>
  </w:style>
  <w:style w:type="paragraph" w:customStyle="1" w:styleId="22">
    <w:name w:val="标题4"/>
    <w:basedOn w:val="2"/>
    <w:next w:val="2"/>
    <w:qFormat/>
    <w:uiPriority w:val="0"/>
    <w:pPr>
      <w:keepNext w:val="0"/>
      <w:keepLines w:val="0"/>
      <w:spacing w:before="0" w:after="0" w:line="240" w:lineRule="auto"/>
      <w:outlineLvl w:val="9"/>
    </w:pPr>
    <w:rPr>
      <w:rFonts w:ascii="Cambria" w:hAnsi="Cambria" w:eastAsia="方正仿宋_GBK" w:cs="Times New Roman"/>
      <w:bCs w:val="0"/>
      <w:sz w:val="30"/>
      <w:szCs w:val="20"/>
    </w:rPr>
  </w:style>
  <w:style w:type="paragraph" w:customStyle="1" w:styleId="23">
    <w:name w:val="Char Char1 Char"/>
    <w:basedOn w:val="1"/>
    <w:qFormat/>
    <w:uiPriority w:val="0"/>
    <w:rPr>
      <w:rFonts w:ascii="Times New Roman" w:hAnsi="Times New Roman" w:eastAsia="宋体"/>
      <w:szCs w:val="21"/>
    </w:rPr>
  </w:style>
  <w:style w:type="paragraph" w:customStyle="1" w:styleId="24">
    <w:name w:val="列出段落11"/>
    <w:basedOn w:val="1"/>
    <w:qFormat/>
    <w:uiPriority w:val="34"/>
    <w:pPr>
      <w:ind w:firstLine="420" w:firstLineChars="200"/>
    </w:pPr>
    <w:rPr>
      <w:rFonts w:ascii="Calibri" w:hAnsi="Calibri" w:eastAsia="宋体" w:cs="黑体"/>
      <w:szCs w:val="24"/>
    </w:rPr>
  </w:style>
  <w:style w:type="paragraph" w:customStyle="1" w:styleId="25">
    <w:name w:val="表内"/>
    <w:basedOn w:val="1"/>
    <w:qFormat/>
    <w:uiPriority w:val="99"/>
    <w:pPr>
      <w:jc w:val="center"/>
    </w:pPr>
    <w:rPr>
      <w:rFonts w:eastAsia="仿宋_GB231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eviewRoot xmlns="http://www.founder.com/review">
  <Data Undone="true"/>
</ReviewRoot>
</file>

<file path=customXml/itemProps1.xml><?xml version="1.0" encoding="utf-8"?>
<ds:datastoreItem xmlns:ds="http://schemas.openxmlformats.org/officeDocument/2006/customXml" ds:itemID="{632695ba-305f-4791-a062-1bc667f2a599}">
  <ds:schemaRefs/>
</ds:datastoreItem>
</file>

<file path=docProps/app.xml><?xml version="1.0" encoding="utf-8"?>
<Properties xmlns="http://schemas.openxmlformats.org/officeDocument/2006/extended-properties" xmlns:vt="http://schemas.openxmlformats.org/officeDocument/2006/docPropsVTypes">
  <Template>Normal</Template>
  <Pages>76</Pages>
  <Words>33113</Words>
  <Characters>34722</Characters>
  <Lines>272</Lines>
  <Paragraphs>76</Paragraphs>
  <TotalTime>42</TotalTime>
  <ScaleCrop>false</ScaleCrop>
  <LinksUpToDate>false</LinksUpToDate>
  <CharactersWithSpaces>34883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2022-04-08T07:56:00Z</dcterms:created>
  <dc:creator>Microsoft</dc:creator>
  <cp:lastModifiedBy>咸鱼本鱼:-)</cp:lastModifiedBy>
  <dcterms:modified xsi:type="dcterms:W3CDTF">2023-09-21T13:42:43Z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57CF3822B0BB448EB12562E05FED00BC_13</vt:lpwstr>
  </property>
</Properties>
</file>