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atLeast"/>
        <w:jc w:val="center"/>
        <w:rPr>
          <w:rFonts w:ascii="宋体" w:hAnsi="宋体" w:cs="宋体"/>
          <w:kern w:val="0"/>
          <w:sz w:val="24"/>
        </w:rPr>
      </w:pPr>
      <w:r>
        <w:rPr>
          <w:rFonts w:hint="eastAsia" w:ascii="方正仿宋_GBK" w:eastAsia="方正仿宋_GBK"/>
          <w:kern w:val="0"/>
          <w:sz w:val="32"/>
          <w:szCs w:val="32"/>
        </w:rPr>
        <w:t>永大安〔</w:t>
      </w:r>
      <w:r>
        <w:rPr>
          <w:kern w:val="0"/>
          <w:sz w:val="32"/>
          <w:szCs w:val="32"/>
        </w:rPr>
        <w:t>2022</w:t>
      </w:r>
      <w:r>
        <w:rPr>
          <w:rFonts w:hint="eastAsia" w:ascii="方正仿宋_GBK" w:eastAsia="方正仿宋_GBK"/>
          <w:kern w:val="0"/>
          <w:sz w:val="32"/>
          <w:szCs w:val="32"/>
        </w:rPr>
        <w:t>〕</w:t>
      </w:r>
      <w:r>
        <w:rPr>
          <w:rFonts w:eastAsia="方正仿宋_GBK"/>
          <w:kern w:val="0"/>
          <w:sz w:val="32"/>
          <w:szCs w:val="32"/>
        </w:rPr>
        <w:t>4</w:t>
      </w:r>
      <w:r>
        <w:rPr>
          <w:kern w:val="0"/>
          <w:sz w:val="32"/>
          <w:szCs w:val="32"/>
        </w:rPr>
        <w:t> </w:t>
      </w:r>
      <w:r>
        <w:rPr>
          <w:rFonts w:hint="eastAsia" w:ascii="方正仿宋_GBK" w:eastAsia="方正仿宋_GBK"/>
          <w:kern w:val="0"/>
          <w:sz w:val="32"/>
          <w:szCs w:val="32"/>
        </w:rPr>
        <w:t>号</w:t>
      </w:r>
    </w:p>
    <w:p>
      <w:pPr>
        <w:widowControl/>
        <w:spacing w:line="480" w:lineRule="atLeast"/>
        <w:rPr>
          <w:rFonts w:ascii="宋体" w:hAnsi="宋体" w:cs="宋体"/>
          <w:kern w:val="0"/>
          <w:sz w:val="24"/>
        </w:rPr>
      </w:pPr>
      <w:r>
        <w:rPr>
          <w:kern w:val="0"/>
          <w:sz w:val="44"/>
          <w:szCs w:val="44"/>
        </w:rPr>
        <w:t> </w:t>
      </w:r>
    </w:p>
    <w:p>
      <w:pPr>
        <w:widowControl/>
        <w:spacing w:line="480" w:lineRule="atLeast"/>
        <w:rPr>
          <w:rFonts w:ascii="宋体" w:hAnsi="宋体" w:cs="宋体"/>
          <w:kern w:val="0"/>
          <w:sz w:val="24"/>
        </w:rPr>
      </w:pPr>
      <w:r>
        <w:rPr>
          <w:kern w:val="0"/>
          <w:sz w:val="44"/>
          <w:szCs w:val="44"/>
        </w:rPr>
        <w:t> </w:t>
      </w:r>
    </w:p>
    <w:p>
      <w:pPr>
        <w:widowControl/>
        <w:spacing w:line="480" w:lineRule="atLeast"/>
        <w:jc w:val="center"/>
        <w:rPr>
          <w:rFonts w:ascii="宋体" w:hAnsi="宋体" w:cs="宋体"/>
          <w:kern w:val="0"/>
          <w:sz w:val="24"/>
        </w:rPr>
      </w:pPr>
      <w:r>
        <w:rPr>
          <w:rFonts w:hint="eastAsia" w:ascii="方正小标宋_GBK" w:eastAsia="方正小标宋_GBK"/>
          <w:kern w:val="0"/>
          <w:sz w:val="44"/>
          <w:szCs w:val="44"/>
        </w:rPr>
        <w:t>重庆市永川区大安街道办事处</w:t>
      </w:r>
    </w:p>
    <w:p>
      <w:pPr>
        <w:widowControl/>
        <w:spacing w:line="480" w:lineRule="atLeast"/>
        <w:jc w:val="center"/>
        <w:rPr>
          <w:rFonts w:ascii="宋体" w:hAnsi="宋体" w:cs="宋体"/>
          <w:kern w:val="0"/>
          <w:sz w:val="24"/>
        </w:rPr>
      </w:pPr>
      <w:r>
        <w:rPr>
          <w:rFonts w:hint="eastAsia" w:ascii="方正小标宋_GBK" w:hAnsi="宋体" w:eastAsia="方正小标宋_GBK" w:cs="宋体"/>
          <w:kern w:val="0"/>
          <w:sz w:val="44"/>
          <w:szCs w:val="44"/>
        </w:rPr>
        <w:t>关于</w:t>
      </w:r>
      <w:r>
        <w:rPr>
          <w:rFonts w:hint="eastAsia" w:ascii="方正小标宋_GBK" w:eastAsia="方正小标宋_GBK"/>
          <w:kern w:val="0"/>
          <w:sz w:val="44"/>
          <w:szCs w:val="44"/>
        </w:rPr>
        <w:t>转发《重庆市重大行政决策后</w:t>
      </w:r>
      <w:r>
        <w:rPr>
          <w:rFonts w:hint="eastAsia" w:ascii="方正小标宋_GBK" w:hAnsi="宋体" w:eastAsia="方正小标宋_GBK" w:cs="宋体"/>
          <w:kern w:val="0"/>
          <w:sz w:val="44"/>
          <w:szCs w:val="44"/>
        </w:rPr>
        <w:t>评估工作规则》的通知</w:t>
      </w:r>
    </w:p>
    <w:p>
      <w:pPr>
        <w:widowControl/>
        <w:spacing w:line="480" w:lineRule="atLeast"/>
        <w:ind w:firstLine="420"/>
        <w:rPr>
          <w:rFonts w:ascii="宋体" w:hAnsi="宋体" w:cs="宋体"/>
          <w:kern w:val="0"/>
          <w:sz w:val="24"/>
        </w:rPr>
      </w:pPr>
      <w:r>
        <w:rPr>
          <w:kern w:val="0"/>
          <w:szCs w:val="21"/>
        </w:rPr>
        <w:t> </w:t>
      </w:r>
    </w:p>
    <w:p>
      <w:pPr>
        <w:widowControl/>
        <w:spacing w:line="480" w:lineRule="atLeast"/>
        <w:rPr>
          <w:rFonts w:ascii="宋体" w:hAnsi="宋体" w:cs="宋体"/>
          <w:kern w:val="0"/>
          <w:sz w:val="24"/>
        </w:rPr>
      </w:pPr>
      <w:r>
        <w:rPr>
          <w:rFonts w:hint="eastAsia" w:ascii="方正仿宋_GBK" w:eastAsia="方正仿宋_GBK"/>
          <w:kern w:val="0"/>
          <w:sz w:val="32"/>
          <w:szCs w:val="32"/>
        </w:rPr>
        <w:t>各村（社区）</w:t>
      </w:r>
      <w:r>
        <w:rPr>
          <w:kern w:val="0"/>
          <w:sz w:val="32"/>
          <w:szCs w:val="32"/>
        </w:rPr>
        <w:t>“</w:t>
      </w:r>
      <w:r>
        <w:rPr>
          <w:rFonts w:hint="eastAsia" w:ascii="方正仿宋_GBK" w:eastAsia="方正仿宋_GBK"/>
          <w:kern w:val="0"/>
          <w:sz w:val="32"/>
          <w:szCs w:val="32"/>
        </w:rPr>
        <w:t>两委</w:t>
      </w:r>
      <w:r>
        <w:rPr>
          <w:kern w:val="0"/>
          <w:sz w:val="32"/>
          <w:szCs w:val="32"/>
        </w:rPr>
        <w:t>”</w:t>
      </w:r>
      <w:r>
        <w:rPr>
          <w:rFonts w:hint="eastAsia" w:ascii="方正仿宋_GBK" w:eastAsia="方正仿宋_GBK"/>
          <w:kern w:val="0"/>
          <w:sz w:val="32"/>
          <w:szCs w:val="32"/>
        </w:rPr>
        <w:t>，街道相关部门：</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根据《重庆市人民政府办公厅关于印发重庆市重大行政决策后评估工作规则的通知》（渝府办发〔</w:t>
      </w:r>
      <w:r>
        <w:rPr>
          <w:kern w:val="0"/>
          <w:sz w:val="32"/>
          <w:szCs w:val="32"/>
        </w:rPr>
        <w:t>2021</w:t>
      </w:r>
      <w:r>
        <w:rPr>
          <w:rFonts w:hint="eastAsia" w:ascii="方正仿宋_GBK" w:eastAsia="方正仿宋_GBK"/>
          <w:kern w:val="0"/>
          <w:sz w:val="32"/>
          <w:szCs w:val="32"/>
        </w:rPr>
        <w:t>〕</w:t>
      </w:r>
      <w:r>
        <w:rPr>
          <w:kern w:val="0"/>
          <w:sz w:val="32"/>
          <w:szCs w:val="32"/>
        </w:rPr>
        <w:t>145</w:t>
      </w:r>
      <w:r>
        <w:rPr>
          <w:rFonts w:hint="eastAsia" w:ascii="方正仿宋_GBK" w:eastAsia="方正仿宋_GBK"/>
          <w:kern w:val="0"/>
          <w:sz w:val="32"/>
          <w:szCs w:val="32"/>
        </w:rPr>
        <w:t>号）文件精神要求，现将《重庆市重大行政决策后评估工作规则》转发给你们，请认真贯彻执行。</w:t>
      </w:r>
    </w:p>
    <w:p>
      <w:pPr>
        <w:widowControl/>
        <w:spacing w:line="480" w:lineRule="atLeast"/>
        <w:rPr>
          <w:rFonts w:ascii="宋体" w:hAnsi="宋体" w:cs="宋体"/>
          <w:kern w:val="0"/>
          <w:sz w:val="24"/>
        </w:rPr>
      </w:pPr>
      <w:r>
        <w:rPr>
          <w:kern w:val="0"/>
          <w:sz w:val="32"/>
          <w:szCs w:val="32"/>
        </w:rPr>
        <w:t> </w:t>
      </w:r>
    </w:p>
    <w:p>
      <w:pPr>
        <w:widowControl/>
        <w:spacing w:line="480" w:lineRule="atLeast"/>
        <w:jc w:val="right"/>
        <w:rPr>
          <w:rFonts w:ascii="宋体" w:hAnsi="宋体" w:cs="宋体"/>
          <w:kern w:val="0"/>
          <w:sz w:val="24"/>
        </w:rPr>
      </w:pPr>
      <w:r>
        <w:rPr>
          <w:rFonts w:hint="eastAsia" w:ascii="方正仿宋_GBK" w:eastAsia="方正仿宋_GBK"/>
          <w:kern w:val="0"/>
          <w:sz w:val="32"/>
          <w:szCs w:val="32"/>
        </w:rPr>
        <w:t>重庆市永川区大安街道办事处</w:t>
      </w:r>
    </w:p>
    <w:p>
      <w:pPr>
        <w:widowControl/>
        <w:spacing w:line="480" w:lineRule="atLeast"/>
        <w:ind w:right="645"/>
        <w:jc w:val="right"/>
        <w:rPr>
          <w:rFonts w:ascii="宋体" w:hAnsi="宋体" w:cs="宋体"/>
          <w:kern w:val="0"/>
          <w:sz w:val="24"/>
        </w:rPr>
      </w:pPr>
      <w:r>
        <w:rPr>
          <w:rFonts w:hint="eastAsia" w:ascii="方正仿宋_GBK" w:hAnsi="宋体" w:eastAsia="方正仿宋_GBK" w:cs="宋体"/>
          <w:kern w:val="0"/>
          <w:sz w:val="32"/>
          <w:szCs w:val="32"/>
        </w:rPr>
        <w:t>                                     </w:t>
      </w:r>
      <w:r>
        <w:rPr>
          <w:kern w:val="0"/>
          <w:sz w:val="32"/>
          <w:szCs w:val="32"/>
        </w:rPr>
        <w:t>2022</w:t>
      </w:r>
      <w:r>
        <w:rPr>
          <w:rFonts w:hint="eastAsia" w:ascii="方正仿宋_GBK" w:eastAsia="方正仿宋_GBK"/>
          <w:kern w:val="0"/>
          <w:sz w:val="32"/>
          <w:szCs w:val="32"/>
        </w:rPr>
        <w:t>年</w:t>
      </w:r>
      <w:r>
        <w:rPr>
          <w:kern w:val="0"/>
          <w:sz w:val="32"/>
          <w:szCs w:val="32"/>
        </w:rPr>
        <w:t>1</w:t>
      </w:r>
      <w:r>
        <w:rPr>
          <w:rFonts w:hint="eastAsia" w:ascii="方正仿宋_GBK" w:eastAsia="方正仿宋_GBK"/>
          <w:kern w:val="0"/>
          <w:sz w:val="32"/>
          <w:szCs w:val="32"/>
        </w:rPr>
        <w:t>月</w:t>
      </w:r>
      <w:r>
        <w:rPr>
          <w:kern w:val="0"/>
          <w:sz w:val="32"/>
          <w:szCs w:val="32"/>
        </w:rPr>
        <w:t>4</w:t>
      </w:r>
      <w:r>
        <w:rPr>
          <w:rFonts w:hint="eastAsia" w:ascii="方正仿宋_GBK" w:eastAsia="方正仿宋_GBK"/>
          <w:kern w:val="0"/>
          <w:sz w:val="32"/>
          <w:szCs w:val="32"/>
        </w:rPr>
        <w:t>日  </w:t>
      </w:r>
    </w:p>
    <w:p>
      <w:pPr>
        <w:widowControl/>
        <w:spacing w:line="480" w:lineRule="atLeast"/>
        <w:jc w:val="left"/>
        <w:rPr>
          <w:rFonts w:hint="eastAsia" w:ascii="方正仿宋_GBK" w:eastAsia="方正仿宋_GBK"/>
          <w:kern w:val="0"/>
          <w:sz w:val="32"/>
          <w:szCs w:val="32"/>
          <w:lang w:eastAsia="zh-CN"/>
        </w:rPr>
      </w:pPr>
      <w:r>
        <w:rPr>
          <w:rFonts w:hint="eastAsia" w:ascii="方正仿宋_GBK" w:eastAsia="方正仿宋_GBK"/>
          <w:kern w:val="0"/>
          <w:sz w:val="32"/>
          <w:szCs w:val="32"/>
          <w:lang w:eastAsia="zh-CN"/>
        </w:rPr>
        <w:t>（此件公开发布）</w:t>
      </w:r>
    </w:p>
    <w:p>
      <w:pPr>
        <w:widowControl/>
        <w:spacing w:line="480" w:lineRule="atLeast"/>
        <w:jc w:val="left"/>
        <w:rPr>
          <w:rFonts w:ascii="宋体" w:hAnsi="宋体" w:cs="宋体"/>
          <w:kern w:val="0"/>
          <w:sz w:val="24"/>
        </w:rPr>
      </w:pPr>
      <w:bookmarkStart w:id="0" w:name="_GoBack"/>
      <w:bookmarkEnd w:id="0"/>
      <w:r>
        <w:rPr>
          <w:kern w:val="0"/>
          <w:sz w:val="44"/>
          <w:szCs w:val="44"/>
        </w:rPr>
        <w:br w:type="textWrapping"/>
      </w:r>
      <w:r>
        <w:rPr>
          <w:rFonts w:ascii="宋体" w:hAnsi="宋体" w:cs="宋体"/>
          <w:kern w:val="0"/>
          <w:sz w:val="24"/>
        </w:rPr>
        <w:t>  </w:t>
      </w:r>
    </w:p>
    <w:p>
      <w:pPr>
        <w:widowControl/>
        <w:spacing w:line="480" w:lineRule="atLeast"/>
        <w:jc w:val="center"/>
        <w:rPr>
          <w:rFonts w:ascii="宋体" w:hAnsi="宋体" w:cs="宋体"/>
          <w:kern w:val="0"/>
          <w:sz w:val="24"/>
        </w:rPr>
      </w:pPr>
      <w:r>
        <w:rPr>
          <w:rFonts w:hint="eastAsia" w:ascii="方正小标宋_GBK" w:eastAsia="方正小标宋_GBK"/>
          <w:kern w:val="0"/>
          <w:sz w:val="44"/>
          <w:szCs w:val="44"/>
        </w:rPr>
        <w:t>重庆市重大行政决策后评估工作规则</w:t>
      </w:r>
    </w:p>
    <w:p>
      <w:pPr>
        <w:widowControl/>
        <w:spacing w:line="480" w:lineRule="atLeast"/>
        <w:ind w:firstLine="645"/>
        <w:rPr>
          <w:rFonts w:ascii="宋体" w:hAnsi="宋体" w:cs="宋体"/>
          <w:kern w:val="0"/>
          <w:sz w:val="24"/>
        </w:rPr>
      </w:pPr>
      <w:r>
        <w:rPr>
          <w:kern w:val="0"/>
          <w:sz w:val="32"/>
          <w:szCs w:val="32"/>
        </w:rPr>
        <w:t> </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第一条</w:t>
      </w:r>
      <w:r>
        <w:rPr>
          <w:kern w:val="0"/>
          <w:sz w:val="32"/>
          <w:szCs w:val="32"/>
        </w:rPr>
        <w:t>    </w:t>
      </w:r>
      <w:r>
        <w:rPr>
          <w:rFonts w:hint="eastAsia" w:ascii="方正仿宋_GBK" w:eastAsia="方正仿宋_GBK"/>
          <w:kern w:val="0"/>
          <w:sz w:val="32"/>
          <w:szCs w:val="32"/>
        </w:rPr>
        <w:t>为加强对重大行政决策实施情况的跟踪、调查与评价，提高重大行政决策质量，确保实施效果，根据《重大行政决策程序暂行条例》《重庆市重大行政决策程序规定》等相关规定，结合本市实际，制定本规则。</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第二条</w:t>
      </w:r>
      <w:r>
        <w:rPr>
          <w:kern w:val="0"/>
          <w:sz w:val="32"/>
          <w:szCs w:val="32"/>
        </w:rPr>
        <w:t>    </w:t>
      </w:r>
      <w:r>
        <w:rPr>
          <w:rFonts w:hint="eastAsia" w:ascii="方正仿宋_GBK" w:eastAsia="方正仿宋_GBK"/>
          <w:kern w:val="0"/>
          <w:sz w:val="32"/>
          <w:szCs w:val="32"/>
        </w:rPr>
        <w:t>市、区县（自治县）人民政府（以下称决策机关）的重大行政决策后评估工作，适用本规则。</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本规则所称重大行政决策后评估，是指决策机关按照一定的方法和程序，对重大行政决策的决策质量、实施效果、存在的问题与风险等进行调查分析与综合研判，形成评估报告的活动。</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第三条</w:t>
      </w:r>
      <w:r>
        <w:rPr>
          <w:kern w:val="0"/>
          <w:sz w:val="32"/>
          <w:szCs w:val="32"/>
        </w:rPr>
        <w:t>    </w:t>
      </w:r>
      <w:r>
        <w:rPr>
          <w:rFonts w:hint="eastAsia" w:ascii="方正仿宋_GBK" w:eastAsia="方正仿宋_GBK"/>
          <w:kern w:val="0"/>
          <w:sz w:val="32"/>
          <w:szCs w:val="32"/>
        </w:rPr>
        <w:t>重大行政决策后评估工作，遵循客观、公正、高效、透明的原则，依法、科学、规范实施。</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第四条</w:t>
      </w:r>
      <w:r>
        <w:rPr>
          <w:kern w:val="0"/>
          <w:sz w:val="32"/>
          <w:szCs w:val="32"/>
        </w:rPr>
        <w:t>    </w:t>
      </w:r>
      <w:r>
        <w:rPr>
          <w:rFonts w:hint="eastAsia" w:ascii="方正仿宋_GBK" w:eastAsia="方正仿宋_GBK"/>
          <w:kern w:val="0"/>
          <w:sz w:val="32"/>
          <w:szCs w:val="32"/>
        </w:rPr>
        <w:t>决策机关组织开展重大行政决策后评估工作，并确</w:t>
      </w:r>
      <w:r>
        <w:rPr>
          <w:kern w:val="0"/>
          <w:sz w:val="32"/>
          <w:szCs w:val="32"/>
        </w:rPr>
        <w:t>  </w:t>
      </w:r>
      <w:r>
        <w:rPr>
          <w:rFonts w:hint="eastAsia" w:ascii="方正仿宋_GBK" w:eastAsia="方正仿宋_GBK"/>
          <w:kern w:val="0"/>
          <w:sz w:val="32"/>
          <w:szCs w:val="32"/>
        </w:rPr>
        <w:t>定承担评估具体工作的单位（以下称评估单位）。</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重大行政决策执行单位及相关部门应当按照各自职责，积极配合评估工作，提供重大行政决策实施过程中的情况和资料，如实说明实施过程中存在的问题和风险，并提出相关建议。</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第五条</w:t>
      </w:r>
      <w:r>
        <w:rPr>
          <w:kern w:val="0"/>
          <w:sz w:val="32"/>
          <w:szCs w:val="32"/>
        </w:rPr>
        <w:t>    </w:t>
      </w:r>
      <w:r>
        <w:rPr>
          <w:rFonts w:hint="eastAsia" w:ascii="方正仿宋_GBK" w:eastAsia="方正仿宋_GBK"/>
          <w:kern w:val="0"/>
          <w:sz w:val="32"/>
          <w:szCs w:val="32"/>
        </w:rPr>
        <w:t>有下列情形之一的，决策机关可以组织开展重大行政决策后评估：</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（一）重大行政决策所依据的法律、法规、规章、政策以及</w:t>
      </w:r>
    </w:p>
    <w:p>
      <w:pPr>
        <w:widowControl/>
        <w:spacing w:line="480" w:lineRule="atLeast"/>
        <w:ind w:firstLine="315"/>
        <w:rPr>
          <w:rFonts w:ascii="宋体" w:hAnsi="宋体" w:cs="宋体"/>
          <w:kern w:val="0"/>
          <w:sz w:val="24"/>
        </w:rPr>
      </w:pPr>
      <w:r>
        <w:rPr>
          <w:rFonts w:hint="eastAsia" w:ascii="方正仿宋_GBK" w:eastAsia="方正仿宋_GBK"/>
          <w:kern w:val="0"/>
          <w:sz w:val="32"/>
          <w:szCs w:val="32"/>
        </w:rPr>
        <w:t>其他客观情况发生重大变化；</w:t>
      </w:r>
      <w:r>
        <w:rPr>
          <w:kern w:val="0"/>
          <w:sz w:val="32"/>
          <w:szCs w:val="32"/>
        </w:rPr>
        <w:t>  </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（二）重大行政决策实施后明显未达到预期效果；</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（三）公民、法人或者其他组织对重大行政决策实施情况提出较多意见；</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（四）重大行政决策执行单位向决策机关申请对其实施的重大行政决策事项开展后评估；</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（五）决策机关认为有必要的其他情形。</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第六条</w:t>
      </w:r>
      <w:r>
        <w:rPr>
          <w:kern w:val="0"/>
          <w:sz w:val="32"/>
          <w:szCs w:val="32"/>
        </w:rPr>
        <w:t>    </w:t>
      </w:r>
      <w:r>
        <w:rPr>
          <w:rFonts w:hint="eastAsia" w:ascii="方正仿宋_GBK" w:eastAsia="方正仿宋_GBK"/>
          <w:kern w:val="0"/>
          <w:sz w:val="32"/>
          <w:szCs w:val="32"/>
        </w:rPr>
        <w:t>重大行政决策后评估可以对决策事项所涉及的各</w:t>
      </w:r>
      <w:r>
        <w:rPr>
          <w:kern w:val="0"/>
          <w:sz w:val="32"/>
          <w:szCs w:val="32"/>
        </w:rPr>
        <w:t>  </w:t>
      </w:r>
      <w:r>
        <w:rPr>
          <w:rFonts w:hint="eastAsia" w:ascii="方正仿宋_GBK" w:eastAsia="方正仿宋_GBK"/>
          <w:kern w:val="0"/>
          <w:sz w:val="32"/>
          <w:szCs w:val="32"/>
        </w:rPr>
        <w:t>个领域进行整体评估，也可以根据实际需要，对其中的主要内容进行部分评估。</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第七条</w:t>
      </w:r>
      <w:r>
        <w:rPr>
          <w:kern w:val="0"/>
          <w:sz w:val="32"/>
          <w:szCs w:val="32"/>
        </w:rPr>
        <w:t>    </w:t>
      </w:r>
      <w:r>
        <w:rPr>
          <w:rFonts w:hint="eastAsia" w:ascii="方正仿宋_GBK" w:eastAsia="方正仿宋_GBK"/>
          <w:kern w:val="0"/>
          <w:sz w:val="32"/>
          <w:szCs w:val="32"/>
        </w:rPr>
        <w:t>重大行政决策后评估工作可以采用部门论证、专家咨询、公众参与、专业机构测评相结合，通过问卷调查、舆情跟踪、实地调研、座谈研究等方式进行。</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第八条</w:t>
      </w:r>
      <w:r>
        <w:rPr>
          <w:kern w:val="0"/>
          <w:sz w:val="32"/>
          <w:szCs w:val="32"/>
        </w:rPr>
        <w:t>    </w:t>
      </w:r>
      <w:r>
        <w:rPr>
          <w:rFonts w:hint="eastAsia" w:ascii="方正仿宋_GBK" w:eastAsia="方正仿宋_GBK"/>
          <w:kern w:val="0"/>
          <w:sz w:val="32"/>
          <w:szCs w:val="32"/>
        </w:rPr>
        <w:t>重大行政决策后评估按照下列程序进行：</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一）成立评估工作组。评估单位应当成立由相关领域专家、政策执行单位代表等人员组成的评估工作组；必要时，可以邀请人大代表、政协委员、人民团体、基层组织、社会组织以及社会公众代表等参加。评估工作组承担制订方案、组织调研、形成报告等具体评估工作。</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（二）制订评估方案。评估方案应当包括评估目的、评估范围、评估方法、评估程序与时间安排，以及经费预算等。</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（三）开展调查研究。调查重大行政决策实施情况，收集重大行政决策相关信息，以及与重大行政决策实施有关的利害关系人和社会公众的意见和建议。</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（四）形成评估报告。评估报告应当记录评估的全过程，并作出建议继续实施、中止执行、终止执行或者调整重大行政决策的评估结论。</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第九条</w:t>
      </w:r>
      <w:r>
        <w:rPr>
          <w:kern w:val="0"/>
          <w:sz w:val="32"/>
          <w:szCs w:val="32"/>
        </w:rPr>
        <w:t>    </w:t>
      </w:r>
      <w:r>
        <w:rPr>
          <w:rFonts w:hint="eastAsia" w:ascii="方正仿宋_GBK" w:eastAsia="方正仿宋_GBK"/>
          <w:kern w:val="0"/>
          <w:sz w:val="32"/>
          <w:szCs w:val="32"/>
        </w:rPr>
        <w:t>评估报告应当数据真实、内容完整、结论准确、建议可行。评估报告主要包括以下内容：</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（一）评估工作的基本情况；</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（二）重大行政决策实施基本情况；</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（三）重大行政决策实施过程中出现的问题以及原因分析，提出改进建议；</w:t>
      </w:r>
      <w:r>
        <w:rPr>
          <w:kern w:val="0"/>
          <w:sz w:val="32"/>
          <w:szCs w:val="32"/>
        </w:rPr>
        <w:t>  </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（四）社会公众对重大行政决策实施的满意度；</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（五）是否达到重大行政决策目标和预期效果；</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（六）作出建议继续实施、中止执行、终止执行或者调整重大行政决策的评估结论；</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（七）决策机关或者评估单位认为需要评估的其他事项。</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第十条</w:t>
      </w:r>
      <w:r>
        <w:rPr>
          <w:kern w:val="0"/>
          <w:sz w:val="32"/>
          <w:szCs w:val="32"/>
        </w:rPr>
        <w:t>    </w:t>
      </w:r>
      <w:r>
        <w:rPr>
          <w:rFonts w:hint="eastAsia" w:ascii="方正仿宋_GBK" w:eastAsia="方正仿宋_GBK"/>
          <w:kern w:val="0"/>
          <w:sz w:val="32"/>
          <w:szCs w:val="32"/>
        </w:rPr>
        <w:t>评估报告应当作为重大行政决策继续实施、中止执行、终止执行或者调整决策的重要依据。</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决策机关根据评估报告和实际情况，可以决定继续实施、中止执行、终止执行或者调整重大行政决策。其中，决定中止执行、终止执行或者调整重大行政决策的，应当履行相关法定程序。决策机关作出中止执行、终止执行或者调整重大行政决策决定的，重大行政决策执行单位应当采取有效措施，避免或者减少经济损失和不良社会影响。</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第十一条</w:t>
      </w:r>
      <w:r>
        <w:rPr>
          <w:kern w:val="0"/>
          <w:sz w:val="32"/>
          <w:szCs w:val="32"/>
        </w:rPr>
        <w:t>    </w:t>
      </w:r>
      <w:r>
        <w:rPr>
          <w:rFonts w:hint="eastAsia" w:ascii="方正仿宋_GBK" w:eastAsia="方正仿宋_GBK"/>
          <w:kern w:val="0"/>
          <w:sz w:val="32"/>
          <w:szCs w:val="32"/>
        </w:rPr>
        <w:t>评估单位可以自行组织实施评估，也可以委托高等院校、科研机构、社会组织、专业咨询机构等第三方进行评估。</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重大行政决策作出前承担了主要论证评估工作的单位，不得参加重大行政决策后评估。</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第十二条</w:t>
      </w:r>
      <w:r>
        <w:rPr>
          <w:kern w:val="0"/>
          <w:sz w:val="32"/>
          <w:szCs w:val="32"/>
        </w:rPr>
        <w:t>    </w:t>
      </w:r>
      <w:r>
        <w:rPr>
          <w:rFonts w:hint="eastAsia" w:ascii="方正仿宋_GBK" w:eastAsia="方正仿宋_GBK"/>
          <w:kern w:val="0"/>
          <w:sz w:val="32"/>
          <w:szCs w:val="32"/>
        </w:rPr>
        <w:t>受委托具体开展重大行政决策后评估的单位应当具备下列条件：</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（一）具备独立法人资格，具有熟悉行政事务和掌握评估方法以及相关专业技术的人员；</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（二）相关人员参与评估的时间能够得到保障；</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（三）具备开展评估工作必须的其他条件。</w:t>
      </w:r>
    </w:p>
    <w:p>
      <w:pPr>
        <w:widowControl/>
        <w:spacing w:line="480" w:lineRule="atLeast"/>
        <w:ind w:firstLine="645"/>
        <w:rPr>
          <w:rFonts w:ascii="宋体" w:hAnsi="宋体" w:cs="宋体"/>
          <w:kern w:val="0"/>
          <w:sz w:val="24"/>
        </w:rPr>
      </w:pPr>
      <w:r>
        <w:rPr>
          <w:rFonts w:hint="eastAsia" w:ascii="方正仿宋_GBK" w:eastAsia="方正仿宋_GBK"/>
          <w:kern w:val="0"/>
          <w:sz w:val="32"/>
          <w:szCs w:val="32"/>
        </w:rPr>
        <w:t>受委托承担重大行政决策后评估工作部分事项的单位也应当具备以上条件。</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第十三条</w:t>
      </w:r>
      <w:r>
        <w:rPr>
          <w:kern w:val="0"/>
          <w:sz w:val="32"/>
          <w:szCs w:val="32"/>
        </w:rPr>
        <w:t>    </w:t>
      </w:r>
      <w:r>
        <w:rPr>
          <w:rFonts w:hint="eastAsia" w:ascii="方正仿宋_GBK" w:eastAsia="方正仿宋_GBK"/>
          <w:kern w:val="0"/>
          <w:sz w:val="32"/>
          <w:szCs w:val="32"/>
        </w:rPr>
        <w:t>参与重大行政决策后评估工作的单位及其工作人员，应当对评估工作涉及的国家秘密、商业秘密以及个人隐私等予以保密。</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第十四条</w:t>
      </w:r>
      <w:r>
        <w:rPr>
          <w:kern w:val="0"/>
          <w:sz w:val="32"/>
          <w:szCs w:val="32"/>
        </w:rPr>
        <w:t>    </w:t>
      </w:r>
      <w:r>
        <w:rPr>
          <w:rFonts w:hint="eastAsia" w:ascii="方正仿宋_GBK" w:eastAsia="方正仿宋_GBK"/>
          <w:kern w:val="0"/>
          <w:sz w:val="32"/>
          <w:szCs w:val="32"/>
        </w:rPr>
        <w:t>参与重大行政决策后评估工作的单位及其工作人员违反本规则，存在失职渎职、弄虚作假、干扰评估等行为的，对负有责任的领导人员和直接责任人员依法追究责任。</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第十五条</w:t>
      </w:r>
      <w:r>
        <w:rPr>
          <w:kern w:val="0"/>
          <w:sz w:val="32"/>
          <w:szCs w:val="32"/>
        </w:rPr>
        <w:t>    </w:t>
      </w:r>
      <w:r>
        <w:rPr>
          <w:rFonts w:hint="eastAsia" w:ascii="方正仿宋_GBK" w:eastAsia="方正仿宋_GBK"/>
          <w:kern w:val="0"/>
          <w:sz w:val="32"/>
          <w:szCs w:val="32"/>
        </w:rPr>
        <w:t>市、区县（自治县）人民政府的工作部门以及乡镇人民政府、街道办事处的重大行政决策后评估工作，参照本规则执行。</w:t>
      </w:r>
    </w:p>
    <w:p>
      <w:pPr>
        <w:widowControl/>
        <w:spacing w:line="480" w:lineRule="atLeast"/>
        <w:ind w:firstLine="645"/>
        <w:rPr>
          <w:rFonts w:ascii="宋体" w:hAnsi="宋体" w:cs="宋体"/>
          <w:kern w:val="0"/>
          <w:sz w:val="24"/>
        </w:rPr>
      </w:pPr>
      <w:r>
        <w:rPr>
          <w:rFonts w:hint="eastAsia" w:ascii="方正黑体_GBK" w:eastAsia="方正黑体_GBK"/>
          <w:kern w:val="0"/>
          <w:sz w:val="32"/>
          <w:szCs w:val="32"/>
        </w:rPr>
        <w:t>第十六条</w:t>
      </w:r>
      <w:r>
        <w:rPr>
          <w:kern w:val="0"/>
          <w:sz w:val="32"/>
          <w:szCs w:val="32"/>
        </w:rPr>
        <w:t>    </w:t>
      </w:r>
      <w:r>
        <w:rPr>
          <w:rFonts w:hint="eastAsia" w:ascii="方正仿宋_GBK" w:eastAsia="方正仿宋_GBK"/>
          <w:kern w:val="0"/>
          <w:sz w:val="32"/>
          <w:szCs w:val="32"/>
        </w:rPr>
        <w:t>本规则自印发之日起施行。</w:t>
      </w:r>
    </w:p>
    <w:p/>
    <w:sectPr>
      <w:headerReference r:id="rId3" w:type="default"/>
      <w:footerReference r:id="rId4" w:type="default"/>
      <w:footerReference r:id="rId5" w:type="even"/>
      <w:pgSz w:w="11906" w:h="16838"/>
      <w:pgMar w:top="1985" w:right="1474" w:bottom="1418" w:left="1588" w:header="851" w:footer="1474"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5 -</w:t>
    </w:r>
    <w:r>
      <w:rPr>
        <w:rFonts w:hint="eastAsia" w:ascii="方正仿宋_GBK" w:eastAsia="方正仿宋_GBK"/>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方正仿宋_GBK" w:eastAsia="方正仿宋_GBK"/>
        <w:sz w:val="28"/>
        <w:szCs w:val="28"/>
      </w:rPr>
      <w:fldChar w:fldCharType="begin"/>
    </w:r>
    <w:r>
      <w:rPr>
        <w:rFonts w:hint="eastAsia" w:ascii="方正仿宋_GBK" w:eastAsia="方正仿宋_GBK"/>
        <w:sz w:val="28"/>
        <w:szCs w:val="28"/>
      </w:rPr>
      <w:instrText xml:space="preserve"> PAGE   \* MERGEFORMAT </w:instrText>
    </w:r>
    <w:r>
      <w:rPr>
        <w:rFonts w:hint="eastAsia" w:ascii="方正仿宋_GBK" w:eastAsia="方正仿宋_GBK"/>
        <w:sz w:val="28"/>
        <w:szCs w:val="28"/>
      </w:rPr>
      <w:fldChar w:fldCharType="separate"/>
    </w:r>
    <w:r>
      <w:rPr>
        <w:rFonts w:ascii="方正仿宋_GBK" w:eastAsia="方正仿宋_GBK"/>
        <w:sz w:val="28"/>
        <w:szCs w:val="28"/>
        <w:lang w:val="zh-CN"/>
      </w:rPr>
      <w:t>-</w:t>
    </w:r>
    <w:r>
      <w:rPr>
        <w:rFonts w:ascii="方正仿宋_GBK" w:eastAsia="方正仿宋_GBK"/>
        <w:sz w:val="28"/>
        <w:szCs w:val="28"/>
      </w:rPr>
      <w:t xml:space="preserve"> 6 -</w:t>
    </w:r>
    <w:r>
      <w:rPr>
        <w:rFonts w:hint="eastAsia" w:ascii="方正仿宋_GBK" w:eastAsia="方正仿宋_GBK"/>
        <w:sz w:val="28"/>
        <w:szCs w:val="2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dit="readOnly"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0NDA1ZjE3NTE4ZDA2ZTM0Y2U5NDNmOTViMWUyYzIifQ=="/>
    <w:docVar w:name="KGWebUrl" w:val="http://23.211.169.2:80/seeyon/officeservlet"/>
  </w:docVars>
  <w:rsids>
    <w:rsidRoot w:val="00E5050D"/>
    <w:rsid w:val="0000173F"/>
    <w:rsid w:val="00003656"/>
    <w:rsid w:val="000162DC"/>
    <w:rsid w:val="00025918"/>
    <w:rsid w:val="00061405"/>
    <w:rsid w:val="000628D6"/>
    <w:rsid w:val="00071BE6"/>
    <w:rsid w:val="000902D7"/>
    <w:rsid w:val="00094C6C"/>
    <w:rsid w:val="000A261E"/>
    <w:rsid w:val="000D4AA1"/>
    <w:rsid w:val="000D4B04"/>
    <w:rsid w:val="000D502A"/>
    <w:rsid w:val="000E20C4"/>
    <w:rsid w:val="000E6205"/>
    <w:rsid w:val="000E7EA8"/>
    <w:rsid w:val="000F2A13"/>
    <w:rsid w:val="001103C8"/>
    <w:rsid w:val="001232C5"/>
    <w:rsid w:val="00134300"/>
    <w:rsid w:val="00136808"/>
    <w:rsid w:val="0013722D"/>
    <w:rsid w:val="001409B7"/>
    <w:rsid w:val="00153181"/>
    <w:rsid w:val="00165C91"/>
    <w:rsid w:val="00167624"/>
    <w:rsid w:val="0018060B"/>
    <w:rsid w:val="001930AB"/>
    <w:rsid w:val="001B5AD3"/>
    <w:rsid w:val="001D396A"/>
    <w:rsid w:val="001F194E"/>
    <w:rsid w:val="002104DB"/>
    <w:rsid w:val="00264747"/>
    <w:rsid w:val="002655C7"/>
    <w:rsid w:val="002771D0"/>
    <w:rsid w:val="00294422"/>
    <w:rsid w:val="002A49C2"/>
    <w:rsid w:val="002B7708"/>
    <w:rsid w:val="002E0125"/>
    <w:rsid w:val="0030665B"/>
    <w:rsid w:val="00312666"/>
    <w:rsid w:val="0031732C"/>
    <w:rsid w:val="00330FFF"/>
    <w:rsid w:val="003338DE"/>
    <w:rsid w:val="003354EF"/>
    <w:rsid w:val="003460E1"/>
    <w:rsid w:val="00354D61"/>
    <w:rsid w:val="00361DD8"/>
    <w:rsid w:val="003730FD"/>
    <w:rsid w:val="0037394B"/>
    <w:rsid w:val="00373FB9"/>
    <w:rsid w:val="0037409E"/>
    <w:rsid w:val="003745BB"/>
    <w:rsid w:val="003A08D2"/>
    <w:rsid w:val="003A5C8E"/>
    <w:rsid w:val="003B3F39"/>
    <w:rsid w:val="003B4C53"/>
    <w:rsid w:val="003E0EAC"/>
    <w:rsid w:val="003E2828"/>
    <w:rsid w:val="00403BC0"/>
    <w:rsid w:val="004068C2"/>
    <w:rsid w:val="00464C81"/>
    <w:rsid w:val="00466373"/>
    <w:rsid w:val="004A01BC"/>
    <w:rsid w:val="004B5084"/>
    <w:rsid w:val="004C43DD"/>
    <w:rsid w:val="004C45C7"/>
    <w:rsid w:val="004D208A"/>
    <w:rsid w:val="004E0CE2"/>
    <w:rsid w:val="00530478"/>
    <w:rsid w:val="00543A3B"/>
    <w:rsid w:val="00551A3D"/>
    <w:rsid w:val="00554EAF"/>
    <w:rsid w:val="00556B4F"/>
    <w:rsid w:val="005570E4"/>
    <w:rsid w:val="00562C03"/>
    <w:rsid w:val="00587400"/>
    <w:rsid w:val="005C42D2"/>
    <w:rsid w:val="00621801"/>
    <w:rsid w:val="00622463"/>
    <w:rsid w:val="0064454D"/>
    <w:rsid w:val="00667934"/>
    <w:rsid w:val="00685716"/>
    <w:rsid w:val="006B23C7"/>
    <w:rsid w:val="006B4685"/>
    <w:rsid w:val="006C53E3"/>
    <w:rsid w:val="006E457B"/>
    <w:rsid w:val="0071301A"/>
    <w:rsid w:val="00721915"/>
    <w:rsid w:val="00722E27"/>
    <w:rsid w:val="0072657C"/>
    <w:rsid w:val="00737CDA"/>
    <w:rsid w:val="00782ED5"/>
    <w:rsid w:val="007A2C1D"/>
    <w:rsid w:val="007A66E2"/>
    <w:rsid w:val="007F1BB5"/>
    <w:rsid w:val="0082342A"/>
    <w:rsid w:val="008259CD"/>
    <w:rsid w:val="008279DC"/>
    <w:rsid w:val="00834CBC"/>
    <w:rsid w:val="0083619C"/>
    <w:rsid w:val="00836EE3"/>
    <w:rsid w:val="00842693"/>
    <w:rsid w:val="0085264C"/>
    <w:rsid w:val="008529E4"/>
    <w:rsid w:val="00873F56"/>
    <w:rsid w:val="008805EF"/>
    <w:rsid w:val="008920AB"/>
    <w:rsid w:val="00897367"/>
    <w:rsid w:val="008A2324"/>
    <w:rsid w:val="008A7498"/>
    <w:rsid w:val="008B060C"/>
    <w:rsid w:val="008C3B77"/>
    <w:rsid w:val="008D780B"/>
    <w:rsid w:val="008E40BE"/>
    <w:rsid w:val="008F140F"/>
    <w:rsid w:val="00901670"/>
    <w:rsid w:val="009153F9"/>
    <w:rsid w:val="00922EA0"/>
    <w:rsid w:val="00931E9B"/>
    <w:rsid w:val="009521A1"/>
    <w:rsid w:val="009640A0"/>
    <w:rsid w:val="00970047"/>
    <w:rsid w:val="00991EE9"/>
    <w:rsid w:val="009A6D59"/>
    <w:rsid w:val="009D0386"/>
    <w:rsid w:val="009D62E6"/>
    <w:rsid w:val="009E70DA"/>
    <w:rsid w:val="009F061C"/>
    <w:rsid w:val="009F55EB"/>
    <w:rsid w:val="00A16D59"/>
    <w:rsid w:val="00A36C3A"/>
    <w:rsid w:val="00A75828"/>
    <w:rsid w:val="00A814FC"/>
    <w:rsid w:val="00A91A21"/>
    <w:rsid w:val="00A92C6A"/>
    <w:rsid w:val="00A96533"/>
    <w:rsid w:val="00AD08D7"/>
    <w:rsid w:val="00AD5022"/>
    <w:rsid w:val="00AD78CC"/>
    <w:rsid w:val="00AF0741"/>
    <w:rsid w:val="00AF40E5"/>
    <w:rsid w:val="00B01614"/>
    <w:rsid w:val="00B14C57"/>
    <w:rsid w:val="00B16D9D"/>
    <w:rsid w:val="00B24E93"/>
    <w:rsid w:val="00B41A3B"/>
    <w:rsid w:val="00B51574"/>
    <w:rsid w:val="00B51AEE"/>
    <w:rsid w:val="00B52799"/>
    <w:rsid w:val="00B8308C"/>
    <w:rsid w:val="00B964D6"/>
    <w:rsid w:val="00BB47CE"/>
    <w:rsid w:val="00BB7CE3"/>
    <w:rsid w:val="00BB7F0B"/>
    <w:rsid w:val="00BC18D2"/>
    <w:rsid w:val="00BD7880"/>
    <w:rsid w:val="00BF7AB3"/>
    <w:rsid w:val="00C17EF2"/>
    <w:rsid w:val="00C212E4"/>
    <w:rsid w:val="00C41CF6"/>
    <w:rsid w:val="00C9181D"/>
    <w:rsid w:val="00C925F7"/>
    <w:rsid w:val="00CA1876"/>
    <w:rsid w:val="00CA6E5B"/>
    <w:rsid w:val="00CE2B0B"/>
    <w:rsid w:val="00CE5F6E"/>
    <w:rsid w:val="00CF1DC6"/>
    <w:rsid w:val="00CF54CF"/>
    <w:rsid w:val="00CF647D"/>
    <w:rsid w:val="00D04E89"/>
    <w:rsid w:val="00D15E5A"/>
    <w:rsid w:val="00D258F3"/>
    <w:rsid w:val="00D3056C"/>
    <w:rsid w:val="00D36119"/>
    <w:rsid w:val="00D53F79"/>
    <w:rsid w:val="00D62E0B"/>
    <w:rsid w:val="00D645BE"/>
    <w:rsid w:val="00D652CA"/>
    <w:rsid w:val="00D82EA1"/>
    <w:rsid w:val="00D93B78"/>
    <w:rsid w:val="00DA3BD9"/>
    <w:rsid w:val="00DB6421"/>
    <w:rsid w:val="00DD004B"/>
    <w:rsid w:val="00DE0435"/>
    <w:rsid w:val="00DE12EB"/>
    <w:rsid w:val="00DE29A2"/>
    <w:rsid w:val="00DF3562"/>
    <w:rsid w:val="00DF67AF"/>
    <w:rsid w:val="00E06CB9"/>
    <w:rsid w:val="00E12F91"/>
    <w:rsid w:val="00E30D04"/>
    <w:rsid w:val="00E33E4C"/>
    <w:rsid w:val="00E40CEB"/>
    <w:rsid w:val="00E5050D"/>
    <w:rsid w:val="00E72C42"/>
    <w:rsid w:val="00E73410"/>
    <w:rsid w:val="00E7630E"/>
    <w:rsid w:val="00E90F7E"/>
    <w:rsid w:val="00E95278"/>
    <w:rsid w:val="00EA0347"/>
    <w:rsid w:val="00EA570B"/>
    <w:rsid w:val="00F304A1"/>
    <w:rsid w:val="00F50D42"/>
    <w:rsid w:val="00F52F29"/>
    <w:rsid w:val="00F6146B"/>
    <w:rsid w:val="00F737B8"/>
    <w:rsid w:val="00F74911"/>
    <w:rsid w:val="00F83D91"/>
    <w:rsid w:val="00F91BD6"/>
    <w:rsid w:val="00FA63CE"/>
    <w:rsid w:val="00FB2488"/>
    <w:rsid w:val="00FC51E7"/>
    <w:rsid w:val="00FE6B08"/>
    <w:rsid w:val="0453279C"/>
    <w:rsid w:val="0A696809"/>
    <w:rsid w:val="104141E1"/>
    <w:rsid w:val="169A035D"/>
    <w:rsid w:val="16DD39D6"/>
    <w:rsid w:val="1BDB5BC9"/>
    <w:rsid w:val="21921EAB"/>
    <w:rsid w:val="230E0C0D"/>
    <w:rsid w:val="24083C8D"/>
    <w:rsid w:val="2A7F045B"/>
    <w:rsid w:val="2E4267ED"/>
    <w:rsid w:val="30FB1859"/>
    <w:rsid w:val="3AC26694"/>
    <w:rsid w:val="47D441A0"/>
    <w:rsid w:val="487F5001"/>
    <w:rsid w:val="551639CA"/>
    <w:rsid w:val="56824623"/>
    <w:rsid w:val="60B13865"/>
    <w:rsid w:val="61881605"/>
    <w:rsid w:val="65573DC5"/>
    <w:rsid w:val="6AC944AA"/>
    <w:rsid w:val="6B351020"/>
    <w:rsid w:val="700426D9"/>
    <w:rsid w:val="71690466"/>
    <w:rsid w:val="726C76EC"/>
    <w:rsid w:val="79F65F8E"/>
    <w:rsid w:val="7CBD5552"/>
    <w:rsid w:val="7CD17963"/>
    <w:rsid w:val="FF2739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paragraph" w:customStyle="1" w:styleId="10">
    <w:name w:val="列出段落1"/>
    <w:basedOn w:val="1"/>
    <w:qFormat/>
    <w:uiPriority w:val="34"/>
    <w:pPr>
      <w:ind w:firstLine="420" w:firstLineChars="200"/>
    </w:pPr>
  </w:style>
  <w:style w:type="character" w:customStyle="1" w:styleId="11">
    <w:name w:val="页眉 Char"/>
    <w:basedOn w:val="8"/>
    <w:link w:val="4"/>
    <w:qFormat/>
    <w:uiPriority w:val="99"/>
    <w:rPr>
      <w:rFonts w:ascii="Times New Roman" w:hAnsi="Times New Roman" w:eastAsia="宋体" w:cs="Times New Roman"/>
      <w:sz w:val="18"/>
      <w:szCs w:val="18"/>
    </w:rPr>
  </w:style>
  <w:style w:type="character" w:customStyle="1" w:styleId="12">
    <w:name w:val="页脚 Char"/>
    <w:basedOn w:val="8"/>
    <w:link w:val="3"/>
    <w:qFormat/>
    <w:uiPriority w:val="99"/>
    <w:rPr>
      <w:rFonts w:ascii="Times New Roman" w:hAnsi="Times New Roman" w:eastAsia="宋体" w:cs="Times New Roman"/>
      <w:sz w:val="18"/>
      <w:szCs w:val="18"/>
    </w:rPr>
  </w:style>
  <w:style w:type="paragraph" w:customStyle="1" w:styleId="13">
    <w:name w:val="Default"/>
    <w:unhideWhenUsed/>
    <w:qFormat/>
    <w:uiPriority w:val="99"/>
    <w:pPr>
      <w:widowControl w:val="0"/>
      <w:autoSpaceDE w:val="0"/>
      <w:autoSpaceDN w:val="0"/>
      <w:adjustRightInd w:val="0"/>
    </w:pPr>
    <w:rPr>
      <w:rFonts w:hint="eastAsia" w:ascii="方正小标宋_GBK" w:hAnsi="方正小标宋_GBK" w:eastAsia="方正小标宋_GBK" w:cs="Times New Roman"/>
      <w:color w:val="000000"/>
      <w:sz w:val="24"/>
      <w:szCs w:val="22"/>
      <w:lang w:val="en-US" w:eastAsia="zh-CN" w:bidi="ar-SA"/>
    </w:rPr>
  </w:style>
  <w:style w:type="character" w:customStyle="1" w:styleId="14">
    <w:name w:val="批注框文本 Char"/>
    <w:basedOn w:val="8"/>
    <w:link w:val="2"/>
    <w:semiHidden/>
    <w:qFormat/>
    <w:uiPriority w:val="99"/>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336</Words>
  <Characters>1918</Characters>
  <Lines>15</Lines>
  <Paragraphs>4</Paragraphs>
  <TotalTime>0</TotalTime>
  <ScaleCrop>false</ScaleCrop>
  <LinksUpToDate>false</LinksUpToDate>
  <CharactersWithSpaces>2250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2022-07-25T10:37:00Z</dcterms:created>
  <dc:creator>asus</dc:creator>
  <cp:lastModifiedBy> </cp:lastModifiedBy>
  <cp:lastPrinted>2022-07-25T10:37:00Z</cp:lastPrinted>
  <dcterms:modified xsi:type="dcterms:W3CDTF">2023-10-08T15:50:38Z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C40CF406984B4FB1B1DE5DB9E130F460</vt:lpwstr>
  </property>
</Properties>
</file>