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D" w:rsidRDefault="0049363D" w:rsidP="0049363D">
      <w:pPr>
        <w:pStyle w:val="a6"/>
        <w:spacing w:before="0" w:beforeAutospacing="0" w:line="360" w:lineRule="atLeast"/>
        <w:jc w:val="center"/>
      </w:pPr>
      <w:r>
        <w:rPr>
          <w:rFonts w:ascii="方正仿宋_GBK" w:eastAsia="方正仿宋_GBK" w:hint="eastAsia"/>
          <w:sz w:val="32"/>
          <w:szCs w:val="32"/>
        </w:rPr>
        <w:t>永川府办发〔2020〕46号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  <w:jc w:val="center"/>
      </w:pPr>
      <w:r>
        <w:rPr>
          <w:rFonts w:ascii="方正小标宋_GBK" w:eastAsia="方正小标宋_GBK" w:hint="eastAsia"/>
          <w:sz w:val="44"/>
          <w:szCs w:val="44"/>
        </w:rPr>
        <w:t>重庆市永川区人民政府办公室</w:t>
      </w:r>
    </w:p>
    <w:p w:rsidR="0049363D" w:rsidRDefault="0049363D" w:rsidP="0049363D">
      <w:pPr>
        <w:pStyle w:val="a6"/>
        <w:spacing w:line="360" w:lineRule="atLeast"/>
        <w:jc w:val="center"/>
      </w:pPr>
      <w:r>
        <w:rPr>
          <w:rFonts w:ascii="方正小标宋_GBK" w:eastAsia="方正小标宋_GBK" w:hint="eastAsia"/>
          <w:sz w:val="44"/>
          <w:szCs w:val="44"/>
        </w:rPr>
        <w:t>关于印发永川区加强活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禽交易</w:t>
      </w:r>
      <w:proofErr w:type="gramEnd"/>
      <w:r>
        <w:rPr>
          <w:rFonts w:ascii="方正小标宋_GBK" w:eastAsia="方正小标宋_GBK" w:hint="eastAsia"/>
          <w:sz w:val="44"/>
          <w:szCs w:val="44"/>
        </w:rPr>
        <w:t>宰杀管理</w:t>
      </w:r>
    </w:p>
    <w:p w:rsidR="0049363D" w:rsidRDefault="0049363D" w:rsidP="0049363D">
      <w:pPr>
        <w:pStyle w:val="a6"/>
        <w:spacing w:line="360" w:lineRule="atLeast"/>
        <w:jc w:val="center"/>
      </w:pPr>
      <w:r>
        <w:rPr>
          <w:rFonts w:ascii="方正小标宋_GBK" w:eastAsia="方正小标宋_GBK" w:hint="eastAsia"/>
          <w:sz w:val="44"/>
          <w:szCs w:val="44"/>
        </w:rPr>
        <w:t>推行集中屠宰冷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链供应</w:t>
      </w:r>
      <w:proofErr w:type="gramEnd"/>
      <w:r>
        <w:rPr>
          <w:rFonts w:ascii="方正小标宋_GBK" w:eastAsia="方正小标宋_GBK" w:hint="eastAsia"/>
          <w:sz w:val="44"/>
          <w:szCs w:val="44"/>
        </w:rPr>
        <w:t>工作方案的通知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各镇人民政府，街道办事处，区政府各部门，有关单位：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《永川区加强活禽交易宰杀管理推行集中屠宰冷链供应工作方案》已经区政府第102次常务会议审议通过，现印发给你们，请认真遵照执行。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lastRenderedPageBreak/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 </w:t>
      </w:r>
      <w:r>
        <w:rPr>
          <w:rFonts w:ascii="方正仿宋_GBK" w:eastAsia="方正仿宋_GBK" w:hint="eastAsia"/>
          <w:sz w:val="32"/>
          <w:szCs w:val="32"/>
        </w:rPr>
        <w:t>重庆市永川区人民政府办公室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 xml:space="preserve"> 2020年6月4日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  <w:jc w:val="center"/>
      </w:pPr>
      <w:r>
        <w:rPr>
          <w:rFonts w:ascii="方正小标宋_GBK" w:eastAsia="方正小标宋_GBK" w:hint="eastAsia"/>
          <w:sz w:val="44"/>
          <w:szCs w:val="44"/>
        </w:rPr>
        <w:t>永川区加强活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禽交易</w:t>
      </w:r>
      <w:proofErr w:type="gramEnd"/>
      <w:r>
        <w:rPr>
          <w:rFonts w:ascii="方正小标宋_GBK" w:eastAsia="方正小标宋_GBK" w:hint="eastAsia"/>
          <w:sz w:val="44"/>
          <w:szCs w:val="44"/>
        </w:rPr>
        <w:t>宰杀管理</w:t>
      </w:r>
    </w:p>
    <w:p w:rsidR="0049363D" w:rsidRDefault="0049363D" w:rsidP="0049363D">
      <w:pPr>
        <w:pStyle w:val="a6"/>
        <w:spacing w:line="360" w:lineRule="atLeast"/>
        <w:jc w:val="center"/>
      </w:pPr>
      <w:r>
        <w:rPr>
          <w:rFonts w:ascii="方正小标宋_GBK" w:eastAsia="方正小标宋_GBK" w:hint="eastAsia"/>
          <w:sz w:val="44"/>
          <w:szCs w:val="44"/>
        </w:rPr>
        <w:t>推行集中屠宰冷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链供应</w:t>
      </w:r>
      <w:proofErr w:type="gramEnd"/>
      <w:r>
        <w:rPr>
          <w:rFonts w:ascii="方正小标宋_GBK" w:eastAsia="方正小标宋_GBK" w:hint="eastAsia"/>
          <w:sz w:val="44"/>
          <w:szCs w:val="44"/>
        </w:rPr>
        <w:t>工作方案</w:t>
      </w:r>
    </w:p>
    <w:p w:rsidR="0049363D" w:rsidRDefault="0049363D" w:rsidP="0049363D">
      <w:pPr>
        <w:pStyle w:val="a6"/>
        <w:spacing w:line="276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为建立长期有效的疫情防控机制，加强活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以及禽产品经营的监督管理，防止动物疫病传播，保护公众健康和公共卫生安全，依据《中华人民共和国传染病防治法》《中华人民共和国动物防疫法》《中华人民共和国食品安全法》等相关法律法规和《重庆市人民政府进一步规范活禽交易推行集</w:t>
      </w:r>
      <w:r>
        <w:rPr>
          <w:rFonts w:ascii="方正仿宋_GBK" w:eastAsia="方正仿宋_GBK" w:hint="eastAsia"/>
          <w:sz w:val="32"/>
          <w:szCs w:val="32"/>
        </w:rPr>
        <w:lastRenderedPageBreak/>
        <w:t>中屠宰冷链供应工作的指导意见》（</w:t>
      </w:r>
      <w:proofErr w:type="gramStart"/>
      <w:r>
        <w:rPr>
          <w:rFonts w:ascii="方正仿宋_GBK" w:eastAsia="方正仿宋_GBK" w:hint="eastAsia"/>
          <w:sz w:val="32"/>
          <w:szCs w:val="32"/>
        </w:rPr>
        <w:t>渝府发</w:t>
      </w:r>
      <w:proofErr w:type="gramEnd"/>
      <w:r>
        <w:rPr>
          <w:rFonts w:ascii="方正仿宋_GBK" w:eastAsia="方正仿宋_GBK" w:hint="eastAsia"/>
          <w:sz w:val="32"/>
          <w:szCs w:val="32"/>
        </w:rPr>
        <w:t>〔2020〕7号）精神，结合永川实际，制定本工作方案。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一、工作目标</w:t>
      </w:r>
    </w:p>
    <w:p w:rsidR="0049363D" w:rsidRDefault="0049363D" w:rsidP="0049363D">
      <w:pPr>
        <w:pStyle w:val="a6"/>
        <w:spacing w:line="276" w:lineRule="atLeast"/>
        <w:ind w:firstLine="645"/>
      </w:pPr>
      <w:proofErr w:type="gramStart"/>
      <w:r>
        <w:rPr>
          <w:rFonts w:ascii="方正仿宋_GBK" w:eastAsia="方正仿宋_GBK" w:hint="eastAsia"/>
          <w:sz w:val="32"/>
          <w:szCs w:val="32"/>
        </w:rPr>
        <w:t>严格活禽交易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和宰杀全程监管，加强检疫检验管理，进一步</w:t>
      </w:r>
      <w:proofErr w:type="gramStart"/>
      <w:r>
        <w:rPr>
          <w:rFonts w:ascii="方正仿宋_GBK" w:eastAsia="方正仿宋_GBK" w:hint="eastAsia"/>
          <w:sz w:val="32"/>
          <w:szCs w:val="32"/>
        </w:rPr>
        <w:t>完善活</w:t>
      </w:r>
      <w:proofErr w:type="gramEnd"/>
      <w:r>
        <w:rPr>
          <w:rFonts w:ascii="方正仿宋_GBK" w:eastAsia="方正仿宋_GBK" w:hint="eastAsia"/>
          <w:sz w:val="32"/>
          <w:szCs w:val="32"/>
        </w:rPr>
        <w:t>禽市场长效监管体系，强化禽肉冷</w:t>
      </w:r>
      <w:proofErr w:type="gramStart"/>
      <w:r>
        <w:rPr>
          <w:rFonts w:ascii="方正仿宋_GBK" w:eastAsia="方正仿宋_GBK" w:hint="eastAsia"/>
          <w:sz w:val="32"/>
          <w:szCs w:val="32"/>
        </w:rPr>
        <w:t>链供应</w:t>
      </w:r>
      <w:proofErr w:type="gramEnd"/>
      <w:r>
        <w:rPr>
          <w:rFonts w:ascii="方正仿宋_GBK" w:eastAsia="方正仿宋_GBK" w:hint="eastAsia"/>
          <w:sz w:val="32"/>
          <w:szCs w:val="32"/>
        </w:rPr>
        <w:t>保障，确保上市禽类及制品质量安全，切实保障公众健康和公共卫生安全。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二、实施范围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本方案所指活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和宰杀禁止区域，为永川中心城区沿</w:t>
      </w:r>
      <w:proofErr w:type="gramStart"/>
      <w:r>
        <w:rPr>
          <w:rFonts w:ascii="方正仿宋_GBK" w:eastAsia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int="eastAsia"/>
          <w:sz w:val="32"/>
          <w:szCs w:val="32"/>
        </w:rPr>
        <w:t>环路、永师路、</w:t>
      </w:r>
      <w:proofErr w:type="gramStart"/>
      <w:r>
        <w:rPr>
          <w:rFonts w:ascii="方正仿宋_GBK" w:eastAsia="方正仿宋_GBK" w:hint="eastAsia"/>
          <w:sz w:val="32"/>
          <w:szCs w:val="32"/>
        </w:rPr>
        <w:t>凤龙大道</w:t>
      </w:r>
      <w:proofErr w:type="gramEnd"/>
      <w:r>
        <w:rPr>
          <w:rFonts w:ascii="方正仿宋_GBK" w:eastAsia="方正仿宋_GBK" w:hint="eastAsia"/>
          <w:sz w:val="32"/>
          <w:szCs w:val="32"/>
        </w:rPr>
        <w:t>、昌龙大道、和畅大道、文昌路、昌州大道围合区域（含道路）。本方案所指活禽，为鸡、鸭、鹅、肉鸽、鹌鹑及其他经人工驯养的可食用活体禽类，兔、羊等可食用活体动物参照本方案管理，国家明令禁止食用的野生动物按相关规定执行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三、实施步骤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lastRenderedPageBreak/>
        <w:t>（一）自本方案印发之日起，禁止区域内批发市场、农贸市场、商场超市以及便民农产品交易点、禽类销售门店、餐饮服务单位等经营场所，不得从事活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和宰杀。在做好集中屠宰、冷鲜供应等配套保障前提下，禁止区域内现有活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和宰杀点，于2020年12月31日前完成取缔。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t>（二）2020年内，禁止区域外的活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和宰杀点，由各镇人民政府、街道办事处根据辖区实际，在符合环保、卫生、食品安全等要求的前提下，完成活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和商业性宰杀点的设定。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 </w:t>
      </w:r>
      <w:r>
        <w:rPr>
          <w:rFonts w:ascii="方正黑体_GBK" w:eastAsia="方正黑体_GBK" w:hint="eastAsia"/>
          <w:sz w:val="32"/>
          <w:szCs w:val="32"/>
        </w:rPr>
        <w:t>四、工作重点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楷体_GBK" w:eastAsia="方正楷体_GBK" w:hint="eastAsia"/>
          <w:sz w:val="32"/>
          <w:szCs w:val="32"/>
        </w:rPr>
        <w:t>（一）加强市场监管，加大执法力度。</w:t>
      </w:r>
      <w:r>
        <w:rPr>
          <w:rFonts w:ascii="方正仿宋_GBK" w:eastAsia="方正仿宋_GBK" w:hint="eastAsia"/>
          <w:sz w:val="32"/>
          <w:szCs w:val="32"/>
        </w:rPr>
        <w:t>各街道办事处加强属地管理，与相关部门协同配合，完成禁止区域内的活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禽交易</w:t>
      </w:r>
      <w:proofErr w:type="gramEnd"/>
      <w:r>
        <w:rPr>
          <w:rFonts w:ascii="方正仿宋_GBK" w:eastAsia="方正仿宋_GBK" w:hint="eastAsia"/>
          <w:sz w:val="32"/>
          <w:szCs w:val="32"/>
        </w:rPr>
        <w:t>和宰杀经营点的取缔工作。区农业农村委要积极做好禽类养殖、运输和屠宰环节的动物防疫行政执法；区市场监管局要加强对</w:t>
      </w:r>
      <w:r>
        <w:rPr>
          <w:rFonts w:ascii="方正仿宋_GBK" w:eastAsia="方正仿宋_GBK" w:hint="eastAsia"/>
          <w:sz w:val="32"/>
          <w:szCs w:val="32"/>
        </w:rPr>
        <w:lastRenderedPageBreak/>
        <w:t>禽类产品销售市场的监管，严格落实进货查验和进（销）</w:t>
      </w:r>
      <w:proofErr w:type="gramStart"/>
      <w:r>
        <w:rPr>
          <w:rFonts w:ascii="方正仿宋_GBK" w:eastAsia="方正仿宋_GBK" w:hint="eastAsia"/>
          <w:sz w:val="32"/>
          <w:szCs w:val="32"/>
        </w:rPr>
        <w:t>货记录</w:t>
      </w:r>
      <w:proofErr w:type="gramEnd"/>
      <w:r>
        <w:rPr>
          <w:rFonts w:ascii="方正仿宋_GBK" w:eastAsia="方正仿宋_GBK" w:hint="eastAsia"/>
          <w:sz w:val="32"/>
          <w:szCs w:val="32"/>
        </w:rPr>
        <w:t>制度，保证来源可查，去向可追，确保维护好市场秩序；区公安局、区交通局依据各自职责，加大对活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禽运输</w:t>
      </w:r>
      <w:proofErr w:type="gramEnd"/>
      <w:r>
        <w:rPr>
          <w:rFonts w:ascii="方正仿宋_GBK" w:eastAsia="方正仿宋_GBK" w:hint="eastAsia"/>
          <w:sz w:val="32"/>
          <w:szCs w:val="32"/>
        </w:rPr>
        <w:t>车辆的管控力度；区生态环境局要督促集中屠宰厂落实环境污染防治措施；区公安局依法维护社会正常秩序，保障我区进一步规范活禽交易、推行集中屠宰、加强冷</w:t>
      </w:r>
      <w:proofErr w:type="gramStart"/>
      <w:r>
        <w:rPr>
          <w:rFonts w:ascii="方正仿宋_GBK" w:eastAsia="方正仿宋_GBK" w:hint="eastAsia"/>
          <w:sz w:val="32"/>
          <w:szCs w:val="32"/>
        </w:rPr>
        <w:t>链供应</w:t>
      </w:r>
      <w:proofErr w:type="gramEnd"/>
      <w:r>
        <w:rPr>
          <w:rFonts w:ascii="方正仿宋_GBK" w:eastAsia="方正仿宋_GBK" w:hint="eastAsia"/>
          <w:sz w:val="32"/>
          <w:szCs w:val="32"/>
        </w:rPr>
        <w:t>等工作高效稳妥实施。相关部门要加强联动，各司其职、密切配合，切实增强政治自觉、思想自觉、行动自觉，积极推进相关工作积极、稳妥、高效实施。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楷体_GBK" w:eastAsia="方正楷体_GBK" w:hint="eastAsia"/>
          <w:sz w:val="32"/>
          <w:szCs w:val="32"/>
        </w:rPr>
        <w:t>（二）加快禽类集中屠宰厂（点）建设。</w:t>
      </w:r>
      <w:r>
        <w:rPr>
          <w:rFonts w:ascii="方正仿宋_GBK" w:eastAsia="方正仿宋_GBK" w:hint="eastAsia"/>
          <w:sz w:val="32"/>
          <w:szCs w:val="32"/>
        </w:rPr>
        <w:t>区农业农村委要牵头负责禽类集中屠宰厂规划布局，提出相关建设标准、资格条件、工作流程，采取宰销结合的方式，满足市场供应。要综合国土空间规划、市场分布、环境保护、动物防疫等因素，合理布局一批相对固定、具有一定隔离条件的禽类集中交易宰杀区域，满足辖区市场供应和长远发展需要。可依托现有的禽类</w:t>
      </w:r>
      <w:r>
        <w:rPr>
          <w:rFonts w:ascii="方正仿宋_GBK" w:eastAsia="方正仿宋_GBK" w:hint="eastAsia"/>
          <w:sz w:val="32"/>
          <w:szCs w:val="32"/>
        </w:rPr>
        <w:lastRenderedPageBreak/>
        <w:t>屠宰企业，规范提升，扩大产能；可在有条件的生猪定点屠宰厂内，增设具有物理隔离条件的禽类屠宰车间；组织大型活禽产品销售企业，与有实力的禽类集中屠宰企业自愿结对、宰销结合，满足禽肉市场供应。全面落实禽类集中屠宰厂（点）高致病性禽流感等动物疫病自检、官方兽医派驻“两项”制度，建立并落实禽类集中屠宰厂（点）上市禽类产品动物产品品质检验合格证（标识）、动物检疫合格证明“两证”制度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楷体_GBK" w:eastAsia="方正楷体_GBK" w:hint="eastAsia"/>
          <w:sz w:val="32"/>
          <w:szCs w:val="32"/>
        </w:rPr>
        <w:t>（三）切实做好市场保障供应。</w:t>
      </w:r>
      <w:r>
        <w:rPr>
          <w:rFonts w:ascii="方正仿宋_GBK" w:eastAsia="方正仿宋_GBK" w:hint="eastAsia"/>
          <w:sz w:val="32"/>
          <w:szCs w:val="32"/>
        </w:rPr>
        <w:t>区</w:t>
      </w:r>
      <w:proofErr w:type="gramStart"/>
      <w:r>
        <w:rPr>
          <w:rFonts w:ascii="方正仿宋_GBK" w:eastAsia="方正仿宋_GBK" w:hint="eastAsia"/>
          <w:sz w:val="32"/>
          <w:szCs w:val="32"/>
        </w:rPr>
        <w:t>商务委</w:t>
      </w:r>
      <w:proofErr w:type="gramEnd"/>
      <w:r>
        <w:rPr>
          <w:rFonts w:ascii="方正仿宋_GBK" w:eastAsia="方正仿宋_GBK" w:hint="eastAsia"/>
          <w:sz w:val="32"/>
          <w:szCs w:val="32"/>
        </w:rPr>
        <w:t>要做好禽肉市场需求分析，积极组织货源。逐步完善从运输配送到消费末端的全程“无断链”禽肉冷链物流体系。支持和鼓励批发市场、农贸市场、商场超市等经营场所转换经营方式、转行经营，按相关要求进行改造。引导有条件的批发市场、农贸市场、商场超市加强与</w:t>
      </w:r>
      <w:proofErr w:type="gramStart"/>
      <w:r>
        <w:rPr>
          <w:rFonts w:ascii="方正仿宋_GBK" w:eastAsia="方正仿宋_GBK" w:hint="eastAsia"/>
          <w:sz w:val="32"/>
          <w:szCs w:val="32"/>
        </w:rPr>
        <w:t>第三方冷链</w:t>
      </w:r>
      <w:proofErr w:type="gramEnd"/>
      <w:r>
        <w:rPr>
          <w:rFonts w:ascii="方正仿宋_GBK" w:eastAsia="方正仿宋_GBK" w:hint="eastAsia"/>
          <w:sz w:val="32"/>
          <w:szCs w:val="32"/>
        </w:rPr>
        <w:t>物流配送企业合作，开展禽产品冷链配送业务，发展连锁经营、冷链配送、电子商务等流通业态，确保市场供应。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楷体_GBK" w:eastAsia="方正楷体_GBK" w:hint="eastAsia"/>
          <w:sz w:val="32"/>
          <w:szCs w:val="32"/>
        </w:rPr>
        <w:lastRenderedPageBreak/>
        <w:t>（四）加快完善质量标准体系。</w:t>
      </w:r>
      <w:r>
        <w:rPr>
          <w:rFonts w:ascii="方正仿宋_GBK" w:eastAsia="方正仿宋_GBK" w:hint="eastAsia"/>
          <w:sz w:val="32"/>
          <w:szCs w:val="32"/>
        </w:rPr>
        <w:t>区级相关部门要针对禽类产业链条加快推进各类标准体系建设。区农业农村委要建立集中屠宰标准体系，确保禽类集中屠宰符合国家相关法律、法规、标准和规范要求；区</w:t>
      </w:r>
      <w:proofErr w:type="gramStart"/>
      <w:r>
        <w:rPr>
          <w:rFonts w:ascii="方正仿宋_GBK" w:eastAsia="方正仿宋_GBK" w:hint="eastAsia"/>
          <w:sz w:val="32"/>
          <w:szCs w:val="32"/>
        </w:rPr>
        <w:t>商务委</w:t>
      </w:r>
      <w:proofErr w:type="gramEnd"/>
      <w:r>
        <w:rPr>
          <w:rFonts w:ascii="方正仿宋_GBK" w:eastAsia="方正仿宋_GBK" w:hint="eastAsia"/>
          <w:sz w:val="32"/>
          <w:szCs w:val="32"/>
        </w:rPr>
        <w:t>要完善农贸市场建设标准体系，进一步推进“农改超”，建设一批“设施达标、环境整洁、安全放心、文明规范”的农贸市场；区市场监管局要完善禽类产品食品安全监管体系，确保销售市场禽产品的质量安全。有关部门要做好各项技术服务保障，稳定禽业生产，以企业为依托，培育地方特色禽类品牌，推进产品质量检测和认证体系建设，建立连锁配送系统，扩大知名度，推动禽业生产结构优化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楷体_GBK" w:eastAsia="方正楷体_GBK" w:hint="eastAsia"/>
          <w:sz w:val="32"/>
          <w:szCs w:val="32"/>
        </w:rPr>
        <w:t>（五）做好经营者帮扶工作。</w:t>
      </w:r>
      <w:r>
        <w:rPr>
          <w:rFonts w:ascii="方正仿宋_GBK" w:eastAsia="方正仿宋_GBK" w:hint="eastAsia"/>
          <w:sz w:val="32"/>
          <w:szCs w:val="32"/>
        </w:rPr>
        <w:t>相关部门要做实做细信访稳定工作，同步细化完善社会稳定应急预案和舆情监测预案，及时</w:t>
      </w:r>
      <w:proofErr w:type="gramStart"/>
      <w:r>
        <w:rPr>
          <w:rFonts w:ascii="方正仿宋_GBK" w:eastAsia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int="eastAsia"/>
          <w:sz w:val="32"/>
          <w:szCs w:val="32"/>
        </w:rPr>
        <w:t>判可能存在的风险隐患和不稳定因素，妥善解决实施过程中可能发生的相关问题，守住社会安全稳定底线。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五、工作要求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仿宋_GBK" w:eastAsia="方正仿宋_GBK" w:hint="eastAsia"/>
          <w:sz w:val="32"/>
          <w:szCs w:val="32"/>
        </w:rPr>
        <w:lastRenderedPageBreak/>
        <w:t>各镇街及相关部门要加强宣传力度，通过电视、广播、报纸等多种新闻媒体，广泛宣传取缔活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禽现场</w:t>
      </w:r>
      <w:proofErr w:type="gramEnd"/>
      <w:r>
        <w:rPr>
          <w:rFonts w:ascii="方正仿宋_GBK" w:eastAsia="方正仿宋_GBK" w:hint="eastAsia"/>
          <w:sz w:val="32"/>
          <w:szCs w:val="32"/>
        </w:rPr>
        <w:t>交易宰杀工作对改善城市环境、提升城市形象、有效防控禽流感疫情等方面积极影响。同时开展爱国卫生运动，加大各种传染病防控知识的宣传，开展政策解读，倡导文明消费，引导公众及时转变活禽生鲜消费习惯，为工作推进营造良好的社会舆论氛围。各镇街要高度重视、提高站位、压实责任，将取缔活</w:t>
      </w:r>
      <w:proofErr w:type="gramStart"/>
      <w:r>
        <w:rPr>
          <w:rFonts w:ascii="方正仿宋_GBK" w:eastAsia="方正仿宋_GBK" w:hint="eastAsia"/>
          <w:sz w:val="32"/>
          <w:szCs w:val="32"/>
        </w:rPr>
        <w:t>禽现场</w:t>
      </w:r>
      <w:proofErr w:type="gramEnd"/>
      <w:r>
        <w:rPr>
          <w:rFonts w:ascii="方正仿宋_GBK" w:eastAsia="方正仿宋_GBK" w:hint="eastAsia"/>
          <w:sz w:val="32"/>
          <w:szCs w:val="32"/>
        </w:rPr>
        <w:t>交易宰杀、推行集中屠宰、加强冷链供应工作纳入重要议事日程，建立健全工作机制，及时解决工作中的重大问题。区级相关部门要加强指导，转变观念，提供优质服务。要加强督促检查，对工作推动不力，造成严重影响的，按相关规定严肃处理。</w:t>
      </w:r>
    </w:p>
    <w:p w:rsidR="0049363D" w:rsidRDefault="0049363D" w:rsidP="0049363D">
      <w:pPr>
        <w:pStyle w:val="a6"/>
        <w:spacing w:line="276" w:lineRule="atLeast"/>
        <w:ind w:firstLine="645"/>
      </w:pPr>
      <w:r>
        <w:rPr>
          <w:rFonts w:ascii="方正黑体_GBK" w:eastAsia="方正黑体_GBK" w:hint="eastAsia"/>
          <w:sz w:val="32"/>
          <w:szCs w:val="32"/>
        </w:rPr>
        <w:t>六、本方案自印发之日起施行。</w:t>
      </w:r>
    </w:p>
    <w:p w:rsidR="0049363D" w:rsidRDefault="0049363D" w:rsidP="0049363D">
      <w:pPr>
        <w:pStyle w:val="a6"/>
        <w:spacing w:line="360" w:lineRule="atLeast"/>
      </w:pPr>
    </w:p>
    <w:p w:rsidR="0049363D" w:rsidRDefault="0049363D" w:rsidP="0049363D">
      <w:pPr>
        <w:pStyle w:val="a6"/>
        <w:spacing w:line="360" w:lineRule="atLeast"/>
        <w:ind w:firstLine="2100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  <w:ind w:firstLine="2100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  <w:ind w:firstLine="2100"/>
      </w:pPr>
      <w:r>
        <w:rPr>
          <w:rFonts w:ascii="方正仿宋_GBK" w:eastAsia="方正仿宋_GBK" w:hint="eastAsia"/>
          <w:sz w:val="32"/>
          <w:szCs w:val="32"/>
        </w:rPr>
        <w:lastRenderedPageBreak/>
        <w:t> </w:t>
      </w:r>
    </w:p>
    <w:p w:rsidR="0049363D" w:rsidRDefault="0049363D" w:rsidP="0049363D">
      <w:pPr>
        <w:pStyle w:val="a6"/>
        <w:spacing w:line="360" w:lineRule="atLeast"/>
        <w:ind w:firstLine="2100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  <w:ind w:firstLine="2100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pacing w:line="360" w:lineRule="atLeast"/>
      </w:pPr>
      <w:r>
        <w:rPr>
          <w:rFonts w:ascii="方正仿宋_GBK" w:eastAsia="方正仿宋_GBK" w:hint="eastAsia"/>
          <w:sz w:val="32"/>
          <w:szCs w:val="32"/>
        </w:rPr>
        <w:t> </w:t>
      </w:r>
    </w:p>
    <w:p w:rsidR="0049363D" w:rsidRDefault="0049363D" w:rsidP="0049363D">
      <w:pPr>
        <w:pStyle w:val="a6"/>
        <w:shd w:val="clear" w:color="auto" w:fill="FFFFFF"/>
        <w:spacing w:line="276" w:lineRule="atLeast"/>
      </w:pPr>
      <w:r>
        <w:rPr>
          <w:sz w:val="32"/>
          <w:szCs w:val="32"/>
          <w:shd w:val="clear" w:color="auto" w:fill="FFFFFF"/>
        </w:rPr>
        <w:t> </w:t>
      </w:r>
    </w:p>
    <w:p w:rsidR="0049363D" w:rsidRDefault="0049363D" w:rsidP="0049363D">
      <w:pPr>
        <w:pStyle w:val="a6"/>
        <w:shd w:val="clear" w:color="auto" w:fill="FFFFFF"/>
        <w:spacing w:line="276" w:lineRule="atLeast"/>
        <w:ind w:firstLine="285"/>
      </w:pPr>
      <w:r>
        <w:rPr>
          <w:rFonts w:ascii="方正仿宋_GBK" w:eastAsia="方正仿宋_GBK" w:hint="eastAsia"/>
          <w:sz w:val="29"/>
          <w:szCs w:val="29"/>
        </w:rPr>
        <w:t>（永</w:t>
      </w:r>
      <w:proofErr w:type="gramStart"/>
      <w:r>
        <w:rPr>
          <w:rFonts w:ascii="方正仿宋_GBK" w:eastAsia="方正仿宋_GBK" w:hint="eastAsia"/>
          <w:sz w:val="29"/>
          <w:szCs w:val="29"/>
        </w:rPr>
        <w:t>规</w:t>
      </w:r>
      <w:proofErr w:type="gramEnd"/>
      <w:r>
        <w:rPr>
          <w:rFonts w:ascii="方正仿宋_GBK" w:eastAsia="方正仿宋_GBK" w:hint="eastAsia"/>
          <w:sz w:val="29"/>
          <w:szCs w:val="29"/>
        </w:rPr>
        <w:t>文〔2020〕007-区府办004）</w:t>
      </w:r>
    </w:p>
    <w:p w:rsidR="0049363D" w:rsidRDefault="0049363D" w:rsidP="0049363D">
      <w:pPr>
        <w:pStyle w:val="a6"/>
        <w:pBdr>
          <w:bottom w:val="single" w:sz="6" w:space="0" w:color="auto"/>
        </w:pBdr>
        <w:spacing w:line="264" w:lineRule="atLeast"/>
        <w:ind w:firstLine="285"/>
      </w:pPr>
      <w:r>
        <w:rPr>
          <w:rFonts w:ascii="方正仿宋_GBK" w:eastAsia="方正仿宋_GBK" w:hint="eastAsia"/>
          <w:sz w:val="29"/>
          <w:szCs w:val="29"/>
        </w:rPr>
        <w:t>抄送：</w:t>
      </w:r>
      <w:r>
        <w:rPr>
          <w:rFonts w:ascii="方正仿宋_GBK" w:eastAsia="方正仿宋_GBK" w:hint="eastAsia"/>
          <w:color w:val="000000"/>
          <w:sz w:val="29"/>
          <w:szCs w:val="29"/>
        </w:rPr>
        <w:t>区委办，区人大办，区政协办。</w:t>
      </w:r>
    </w:p>
    <w:p w:rsidR="0049363D" w:rsidRDefault="0049363D" w:rsidP="0049363D">
      <w:pPr>
        <w:pStyle w:val="a6"/>
        <w:spacing w:line="264" w:lineRule="atLeast"/>
        <w:rPr>
          <w:rFonts w:ascii="方正仿宋_GBK" w:eastAsia="方正仿宋_GBK" w:hint="eastAsia"/>
          <w:sz w:val="29"/>
          <w:szCs w:val="29"/>
        </w:rPr>
      </w:pPr>
      <w:r>
        <w:rPr>
          <w:rFonts w:ascii="方正仿宋_GBK" w:eastAsia="方正仿宋_GBK" w:hint="eastAsia"/>
          <w:sz w:val="29"/>
          <w:szCs w:val="29"/>
        </w:rPr>
        <w:lastRenderedPageBreak/>
        <w:t>重庆市永川区人民政府办公室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> </w:t>
      </w:r>
      <w:r>
        <w:rPr>
          <w:rFonts w:ascii="方正仿宋_GBK" w:eastAsia="方正仿宋_GBK" w:hint="eastAsia"/>
          <w:sz w:val="29"/>
          <w:szCs w:val="29"/>
        </w:rPr>
        <w:t xml:space="preserve"> </w:t>
      </w:r>
      <w:r>
        <w:rPr>
          <w:rFonts w:ascii="方正仿宋_GBK" w:eastAsia="方正仿宋_GBK" w:hint="eastAsia"/>
          <w:sz w:val="29"/>
          <w:szCs w:val="29"/>
        </w:rPr>
        <w:t> </w:t>
      </w:r>
    </w:p>
    <w:p w:rsidR="0049363D" w:rsidRDefault="0049363D" w:rsidP="0049363D">
      <w:pPr>
        <w:pStyle w:val="a6"/>
        <w:spacing w:line="264" w:lineRule="atLeast"/>
      </w:pPr>
      <w:bookmarkStart w:id="0" w:name="_GoBack"/>
      <w:bookmarkEnd w:id="0"/>
      <w:r>
        <w:rPr>
          <w:rFonts w:ascii="方正仿宋_GBK" w:eastAsia="方正仿宋_GBK" w:hint="eastAsia"/>
          <w:sz w:val="29"/>
          <w:szCs w:val="29"/>
        </w:rPr>
        <w:t>2020年6月11日印发</w:t>
      </w:r>
    </w:p>
    <w:p w:rsidR="00BE57F7" w:rsidRPr="0049363D" w:rsidRDefault="00BE57F7" w:rsidP="0049363D"/>
    <w:sectPr w:rsidR="00BE57F7" w:rsidRPr="0049363D">
      <w:pgSz w:w="11906" w:h="16838"/>
      <w:pgMar w:top="1985" w:right="1474" w:bottom="1418" w:left="1588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AA8"/>
    <w:multiLevelType w:val="multilevel"/>
    <w:tmpl w:val="EBA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</w:docVars>
  <w:rsids>
    <w:rsidRoot w:val="00560F3A"/>
    <w:rsid w:val="00012E35"/>
    <w:rsid w:val="00014DB4"/>
    <w:rsid w:val="00020A60"/>
    <w:rsid w:val="00094FC3"/>
    <w:rsid w:val="00137DB0"/>
    <w:rsid w:val="0015692B"/>
    <w:rsid w:val="001816A6"/>
    <w:rsid w:val="001A3532"/>
    <w:rsid w:val="001B26ED"/>
    <w:rsid w:val="002C76A8"/>
    <w:rsid w:val="002D1D33"/>
    <w:rsid w:val="00335BC2"/>
    <w:rsid w:val="003468C2"/>
    <w:rsid w:val="00391D22"/>
    <w:rsid w:val="00414526"/>
    <w:rsid w:val="004215E2"/>
    <w:rsid w:val="0049363D"/>
    <w:rsid w:val="004A4958"/>
    <w:rsid w:val="004C37EF"/>
    <w:rsid w:val="004C4E3D"/>
    <w:rsid w:val="004D778B"/>
    <w:rsid w:val="004E3CA2"/>
    <w:rsid w:val="00560F3A"/>
    <w:rsid w:val="005D55DE"/>
    <w:rsid w:val="005E1DA3"/>
    <w:rsid w:val="005F744D"/>
    <w:rsid w:val="007451FD"/>
    <w:rsid w:val="00774D1D"/>
    <w:rsid w:val="00792B7B"/>
    <w:rsid w:val="007D4799"/>
    <w:rsid w:val="00821832"/>
    <w:rsid w:val="0082545E"/>
    <w:rsid w:val="008507A8"/>
    <w:rsid w:val="008A0258"/>
    <w:rsid w:val="008D0C7B"/>
    <w:rsid w:val="008E250A"/>
    <w:rsid w:val="009A36EA"/>
    <w:rsid w:val="00A13B84"/>
    <w:rsid w:val="00A92046"/>
    <w:rsid w:val="00AC071A"/>
    <w:rsid w:val="00AE58B8"/>
    <w:rsid w:val="00BE57F7"/>
    <w:rsid w:val="00CA2EE7"/>
    <w:rsid w:val="00D27BDF"/>
    <w:rsid w:val="00E809EB"/>
    <w:rsid w:val="00F04FE1"/>
    <w:rsid w:val="00FC34F0"/>
    <w:rsid w:val="00FC37DE"/>
    <w:rsid w:val="00FC7380"/>
    <w:rsid w:val="01D207B5"/>
    <w:rsid w:val="02697479"/>
    <w:rsid w:val="03762EC9"/>
    <w:rsid w:val="0396446C"/>
    <w:rsid w:val="05E732EC"/>
    <w:rsid w:val="07E72BA5"/>
    <w:rsid w:val="089E1B64"/>
    <w:rsid w:val="08B42698"/>
    <w:rsid w:val="08D44DA7"/>
    <w:rsid w:val="091B182C"/>
    <w:rsid w:val="0DD57ECE"/>
    <w:rsid w:val="0FD0201D"/>
    <w:rsid w:val="130B4061"/>
    <w:rsid w:val="142343A0"/>
    <w:rsid w:val="162A437A"/>
    <w:rsid w:val="17017F86"/>
    <w:rsid w:val="18DA0A8E"/>
    <w:rsid w:val="1FC6473A"/>
    <w:rsid w:val="210B37F0"/>
    <w:rsid w:val="249441E7"/>
    <w:rsid w:val="261A62C4"/>
    <w:rsid w:val="27194E78"/>
    <w:rsid w:val="27F46954"/>
    <w:rsid w:val="29897672"/>
    <w:rsid w:val="29BB5D72"/>
    <w:rsid w:val="29BB7080"/>
    <w:rsid w:val="2A89498B"/>
    <w:rsid w:val="2AED7CD6"/>
    <w:rsid w:val="2BB313F7"/>
    <w:rsid w:val="2C3A068B"/>
    <w:rsid w:val="2C883340"/>
    <w:rsid w:val="311D7312"/>
    <w:rsid w:val="324C4353"/>
    <w:rsid w:val="34F760D5"/>
    <w:rsid w:val="358D0F0B"/>
    <w:rsid w:val="374C59CB"/>
    <w:rsid w:val="37814D43"/>
    <w:rsid w:val="3D02699F"/>
    <w:rsid w:val="3DE32814"/>
    <w:rsid w:val="3E8B6203"/>
    <w:rsid w:val="4129750D"/>
    <w:rsid w:val="42CD2946"/>
    <w:rsid w:val="46BF01DA"/>
    <w:rsid w:val="47CA46CD"/>
    <w:rsid w:val="47ED681E"/>
    <w:rsid w:val="489967E5"/>
    <w:rsid w:val="4AF56EDE"/>
    <w:rsid w:val="4B2A405F"/>
    <w:rsid w:val="4B4B1F41"/>
    <w:rsid w:val="4D49484F"/>
    <w:rsid w:val="4DED3207"/>
    <w:rsid w:val="51695F30"/>
    <w:rsid w:val="537009C4"/>
    <w:rsid w:val="53F561A1"/>
    <w:rsid w:val="54947768"/>
    <w:rsid w:val="58AC4CBD"/>
    <w:rsid w:val="598F49A2"/>
    <w:rsid w:val="61131A15"/>
    <w:rsid w:val="62097768"/>
    <w:rsid w:val="68C36416"/>
    <w:rsid w:val="6A25348F"/>
    <w:rsid w:val="6AE61B91"/>
    <w:rsid w:val="6B80504A"/>
    <w:rsid w:val="6EEB3195"/>
    <w:rsid w:val="6EF72B2E"/>
    <w:rsid w:val="6F71097A"/>
    <w:rsid w:val="72EE10D6"/>
    <w:rsid w:val="731A1328"/>
    <w:rsid w:val="742C1313"/>
    <w:rsid w:val="76C9735A"/>
    <w:rsid w:val="76E934EC"/>
    <w:rsid w:val="77040325"/>
    <w:rsid w:val="7841245E"/>
    <w:rsid w:val="78B83176"/>
    <w:rsid w:val="792A3948"/>
    <w:rsid w:val="79C75364"/>
    <w:rsid w:val="7CA26617"/>
    <w:rsid w:val="7E10135E"/>
    <w:rsid w:val="7F5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  <w:style w:type="paragraph" w:styleId="a9">
    <w:name w:val="Balloon Text"/>
    <w:basedOn w:val="a"/>
    <w:link w:val="Char"/>
    <w:rsid w:val="005E1DA3"/>
    <w:rPr>
      <w:sz w:val="18"/>
      <w:szCs w:val="18"/>
    </w:rPr>
  </w:style>
  <w:style w:type="character" w:customStyle="1" w:styleId="Char">
    <w:name w:val="批注框文本 Char"/>
    <w:basedOn w:val="a0"/>
    <w:link w:val="a9"/>
    <w:rsid w:val="005E1DA3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14526"/>
    <w:rPr>
      <w:color w:val="0000FF"/>
      <w:u w:val="single"/>
    </w:rPr>
  </w:style>
  <w:style w:type="paragraph" w:styleId="a9">
    <w:name w:val="Balloon Text"/>
    <w:basedOn w:val="a"/>
    <w:link w:val="Char"/>
    <w:rsid w:val="005E1DA3"/>
    <w:rPr>
      <w:sz w:val="18"/>
      <w:szCs w:val="18"/>
    </w:rPr>
  </w:style>
  <w:style w:type="character" w:customStyle="1" w:styleId="Char">
    <w:name w:val="批注框文本 Char"/>
    <w:basedOn w:val="a0"/>
    <w:link w:val="a9"/>
    <w:rsid w:val="005E1DA3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2022-05-07T07:40:00Z</cp:lastPrinted>
  <dcterms:created xsi:type="dcterms:W3CDTF">2022-05-09T01:33:00Z</dcterms:created>
  <dcterms:modified xsi:type="dcterms:W3CDTF">2022-08-04T06:39:00Z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618792610_btnclosed</vt:lpwstr>
  </property>
  <property fmtid="{D5CDD505-2E9C-101B-9397-08002B2CF9AE}" pid="4" name="ICV">
    <vt:lpwstr>87B767787CBC4E5E946EF0911E8143F2</vt:lpwstr>
  </property>
</Properties>
</file>