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color w:val="000000" w:themeColor="text1"/>
          <w:sz w:val="44"/>
          <w:szCs w:val="44"/>
          <w14:textFill>
            <w14:solidFill>
              <w14:schemeClr w14:val="tx1"/>
            </w14:solidFill>
          </w14:textFill>
        </w:rPr>
      </w:pPr>
      <w:r>
        <w:rPr>
          <w:rFonts w:hint="eastAsia" w:ascii="Times New Roman" w:hAnsi="Times New Roman" w:eastAsia="方正小标宋_GBK" w:cs="Times New Roman"/>
          <w:b w:val="0"/>
          <w:bCs/>
          <w:color w:val="000000" w:themeColor="text1"/>
          <w:sz w:val="44"/>
          <w:szCs w:val="44"/>
          <w:lang w:eastAsia="zh-CN"/>
          <w14:textFill>
            <w14:solidFill>
              <w14:schemeClr w14:val="tx1"/>
            </w14:solidFill>
          </w14:textFill>
        </w:rPr>
        <w:t>永川</w:t>
      </w:r>
      <w:r>
        <w:rPr>
          <w:rFonts w:hint="default" w:ascii="Times New Roman" w:hAnsi="Times New Roman" w:eastAsia="方正小标宋_GBK" w:cs="Times New Roman"/>
          <w:b w:val="0"/>
          <w:bCs/>
          <w:color w:val="000000" w:themeColor="text1"/>
          <w:sz w:val="44"/>
          <w:szCs w:val="44"/>
          <w14:textFill>
            <w14:solidFill>
              <w14:schemeClr w14:val="tx1"/>
            </w14:solidFill>
          </w14:textFill>
        </w:rPr>
        <w:t>投资指南</w:t>
      </w:r>
    </w:p>
    <w:p>
      <w:pPr>
        <w:jc w:val="center"/>
        <w:rPr>
          <w:rFonts w:hint="eastAsia" w:eastAsia="方正小标宋_GBK"/>
          <w:color w:val="000000" w:themeColor="text1"/>
          <w:lang w:eastAsia="zh-CN"/>
          <w14:textFill>
            <w14:solidFill>
              <w14:schemeClr w14:val="tx1"/>
            </w14:solidFill>
          </w14:textFill>
        </w:rPr>
      </w:pPr>
      <w:r>
        <w:rPr>
          <w:rFonts w:hint="eastAsia" w:ascii="Times New Roman" w:hAnsi="Times New Roman" w:eastAsia="方正小标宋_GBK" w:cs="Times New Roman"/>
          <w:b w:val="0"/>
          <w:bCs/>
          <w:color w:val="000000" w:themeColor="text1"/>
          <w:sz w:val="44"/>
          <w:szCs w:val="44"/>
          <w:lang w:eastAsia="zh-CN"/>
          <w14:textFill>
            <w14:solidFill>
              <w14:schemeClr w14:val="tx1"/>
            </w14:solidFill>
          </w14:textFill>
        </w:rPr>
        <w:t>重庆永川国家高新技术产业开发区</w:t>
      </w:r>
    </w:p>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楷体_GBK" w:cs="Times New Roman"/>
          <w:color w:val="000000" w:themeColor="text1"/>
          <w:sz w:val="32"/>
          <w:szCs w:val="36"/>
          <w14:textFill>
            <w14:solidFill>
              <w14:schemeClr w14:val="tx1"/>
            </w14:solidFill>
          </w14:textFill>
        </w:rPr>
      </w:pPr>
      <w:r>
        <w:rPr>
          <w:rFonts w:hint="default" w:ascii="Times New Roman" w:hAnsi="Times New Roman" w:eastAsia="方正楷体_GBK" w:cs="Times New Roman"/>
          <w:color w:val="000000" w:themeColor="text1"/>
          <w:sz w:val="32"/>
          <w:szCs w:val="36"/>
          <w14:textFill>
            <w14:solidFill>
              <w14:schemeClr w14:val="tx1"/>
            </w14:solidFill>
          </w14:textFill>
        </w:rPr>
        <w:t>重庆市永川区招商投资促进局</w:t>
      </w:r>
    </w:p>
    <w:p>
      <w:pPr>
        <w:pStyle w:val="5"/>
        <w:pageBreakBefore w:val="0"/>
        <w:kinsoku/>
        <w:wordWrap/>
        <w:overflowPunct/>
        <w:topLinePunct w:val="0"/>
        <w:autoSpaceDE/>
        <w:autoSpaceDN/>
        <w:bidi w:val="0"/>
        <w:adjustRightInd/>
        <w:spacing w:line="594" w:lineRule="exact"/>
        <w:textAlignment w:val="auto"/>
        <w:rPr>
          <w:rFonts w:hint="default" w:ascii="Times New Roman" w:hAnsi="Times New Roman" w:cs="Times New Roman"/>
          <w:color w:val="000000" w:themeColor="text1"/>
          <w14:textFill>
            <w14:solidFill>
              <w14:schemeClr w14:val="tx1"/>
            </w14:solidFill>
          </w14:textFill>
        </w:rPr>
      </w:pPr>
    </w:p>
    <w:p>
      <w:pPr>
        <w:pStyle w:val="5"/>
        <w:pageBreakBefore w:val="0"/>
        <w:kinsoku/>
        <w:wordWrap/>
        <w:overflowPunct/>
        <w:topLinePunct w:val="0"/>
        <w:autoSpaceDE/>
        <w:autoSpaceDN/>
        <w:bidi w:val="0"/>
        <w:adjustRightInd/>
        <w:spacing w:line="276" w:lineRule="auto"/>
        <w:jc w:val="center"/>
        <w:textAlignment w:val="auto"/>
        <w:rPr>
          <w:rFonts w:hint="default" w:ascii="Times New Roman" w:hAnsi="Times New Roman" w:eastAsia="方正黑体_GBK" w:cs="Times New Roman"/>
          <w:b w:val="0"/>
          <w:bCs/>
          <w:color w:val="000000" w:themeColor="text1"/>
          <w14:textFill>
            <w14:solidFill>
              <w14:schemeClr w14:val="tx1"/>
            </w14:solidFill>
          </w14:textFill>
        </w:rPr>
      </w:pPr>
      <w:r>
        <w:rPr>
          <w:rFonts w:hint="default" w:ascii="Times New Roman" w:hAnsi="Times New Roman" w:eastAsia="方正黑体_GBK" w:cs="Times New Roman"/>
          <w:b w:val="0"/>
          <w:bCs/>
          <w:color w:val="000000" w:themeColor="text1"/>
          <w14:textFill>
            <w14:solidFill>
              <w14:schemeClr w14:val="tx1"/>
            </w14:solidFill>
          </w14:textFill>
        </w:rPr>
        <w:t>重庆简介</w:t>
      </w:r>
      <w:bookmarkStart w:id="0" w:name="OLE_LINK9"/>
    </w:p>
    <w:p>
      <w:pPr>
        <w:pStyle w:val="5"/>
        <w:pageBreakBefore w:val="0"/>
        <w:kinsoku/>
        <w:wordWrap/>
        <w:overflowPunct/>
        <w:topLinePunct w:val="0"/>
        <w:autoSpaceDE/>
        <w:autoSpaceDN/>
        <w:bidi w:val="0"/>
        <w:adjustRightInd/>
        <w:spacing w:line="276" w:lineRule="auto"/>
        <w:ind w:firstLine="640" w:firstLineChars="200"/>
        <w:jc w:val="both"/>
        <w:textAlignment w:val="auto"/>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重庆是中国西部唯一直辖市</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，是</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九大国家中心城市之一，幅员面积8.24万平方公里，辖26区、8县、4自治县，常住人口</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212.43</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万人，</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城镇化</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率</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70.32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w:t>
      </w:r>
    </w:p>
    <w:p>
      <w:pPr>
        <w:pageBreakBefore w:val="0"/>
        <w:kinsoku/>
        <w:wordWrap/>
        <w:overflowPunct/>
        <w:topLinePunct w:val="0"/>
        <w:autoSpaceDE/>
        <w:autoSpaceDN/>
        <w:bidi w:val="0"/>
        <w:adjustRightInd/>
        <w:spacing w:line="276" w:lineRule="auto"/>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重庆是西部大开发的重要战略支点，处在</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一带一路</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和长江经济带的联结点上，正加快建设内陆开放高地、山清水秀美丽之地，推动高质量发展，创造高品质生活，努力在推进新时代西部大开发中发挥支撑作用、在推进共建</w:t>
      </w:r>
      <w:r>
        <w:rPr>
          <w:rFonts w:hint="eastAsia" w:ascii="方正仿宋_GBK" w:hAnsi="方正仿宋_GBK" w:eastAsia="方正仿宋_GBK" w:cs="方正仿宋_GBK"/>
          <w:color w:val="000000" w:themeColor="text1"/>
          <w:sz w:val="32"/>
          <w:szCs w:val="32"/>
          <w14:textFill>
            <w14:solidFill>
              <w14:schemeClr w14:val="tx1"/>
            </w14:solidFill>
          </w14:textFill>
        </w:rPr>
        <w:t>“一带一路”</w:t>
      </w:r>
      <w:r>
        <w:rPr>
          <w:rFonts w:hint="default" w:ascii="Times New Roman" w:hAnsi="Times New Roman" w:eastAsia="方正仿宋_GBK" w:cs="Times New Roman"/>
          <w:color w:val="000000" w:themeColor="text1"/>
          <w:sz w:val="32"/>
          <w:szCs w:val="32"/>
          <w14:textFill>
            <w14:solidFill>
              <w14:schemeClr w14:val="tx1"/>
            </w14:solidFill>
          </w14:textFill>
        </w:rPr>
        <w:t>中发挥带动作用、在推进长江经济带绿色发展中发挥示范作用。</w:t>
      </w:r>
    </w:p>
    <w:bookmarkEnd w:id="0"/>
    <w:p>
      <w:pPr>
        <w:pageBreakBefore w:val="0"/>
        <w:kinsoku/>
        <w:wordWrap/>
        <w:overflowPunct/>
        <w:topLinePunct w:val="0"/>
        <w:autoSpaceDE/>
        <w:autoSpaceDN/>
        <w:bidi w:val="0"/>
        <w:adjustRightInd/>
        <w:spacing w:line="276" w:lineRule="auto"/>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重庆是西南地区最大的工商业城市</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是中国西部唯一集水陆空运输方式为一体的综合交通枢纽。</w:t>
      </w:r>
    </w:p>
    <w:p>
      <w:pPr>
        <w:pStyle w:val="2"/>
        <w:rPr>
          <w:rFonts w:hint="eastAsia"/>
          <w:color w:val="000000" w:themeColor="text1"/>
          <w14:textFill>
            <w14:solidFill>
              <w14:schemeClr w14:val="tx1"/>
            </w14:solidFill>
          </w14:textFill>
        </w:rPr>
      </w:pPr>
    </w:p>
    <w:p>
      <w:pPr>
        <w:pStyle w:val="5"/>
        <w:pageBreakBefore w:val="0"/>
        <w:kinsoku/>
        <w:wordWrap/>
        <w:overflowPunct/>
        <w:topLinePunct w:val="0"/>
        <w:autoSpaceDE/>
        <w:autoSpaceDN/>
        <w:bidi w:val="0"/>
        <w:adjustRightInd/>
        <w:spacing w:line="276" w:lineRule="auto"/>
        <w:jc w:val="center"/>
        <w:textAlignment w:val="auto"/>
        <w:rPr>
          <w:rFonts w:hint="eastAsia" w:ascii="方正黑体_GBK" w:hAnsi="方正黑体_GBK" w:eastAsia="方正黑体_GBK" w:cs="方正黑体_GBK"/>
          <w:b w:val="0"/>
          <w:bCs/>
          <w:color w:val="000000" w:themeColor="text1"/>
          <w14:textFill>
            <w14:solidFill>
              <w14:schemeClr w14:val="tx1"/>
            </w14:solidFill>
          </w14:textFill>
        </w:rPr>
      </w:pPr>
      <w:r>
        <w:rPr>
          <w:rFonts w:hint="eastAsia" w:ascii="方正黑体_GBK" w:hAnsi="方正黑体_GBK" w:eastAsia="方正黑体_GBK" w:cs="方正黑体_GBK"/>
          <w:b w:val="0"/>
          <w:bCs/>
          <w:color w:val="000000" w:themeColor="text1"/>
          <w14:textFill>
            <w14:solidFill>
              <w14:schemeClr w14:val="tx1"/>
            </w14:solidFill>
          </w14:textFill>
        </w:rPr>
        <w:t>永川简介</w:t>
      </w:r>
    </w:p>
    <w:p>
      <w:pPr>
        <w:pageBreakBefore w:val="0"/>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永川区位于长江上游，重庆西部，东距重庆55公里，西离成都276公里。全区幅员面积1576平方公里，常住人口114.</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万人，城镇化率</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71.14</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是区域性中心城市，是成渝地区双城经济圈枢纽节点和重庆主城都市区战略支点。</w:t>
      </w:r>
      <w:r>
        <w:rPr>
          <w:rFonts w:hint="eastAsia"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是国家《成渝地区双城经济圈建设规划纲要》明确支持建设的现代制造业基地、西部职教基地，川南渝西融合发展试验区。</w:t>
      </w:r>
    </w:p>
    <w:p>
      <w:pPr>
        <w:pageBreakBefore w:val="0"/>
        <w:kinsoku/>
        <w:wordWrap/>
        <w:overflowPunct/>
        <w:topLinePunct w:val="0"/>
        <w:autoSpaceDE/>
        <w:autoSpaceDN/>
        <w:bidi w:val="0"/>
        <w:adjustRightInd/>
        <w:spacing w:line="276" w:lineRule="auto"/>
        <w:ind w:firstLine="640" w:firstLineChars="200"/>
        <w:jc w:val="both"/>
        <w:textAlignment w:val="auto"/>
        <w:rPr>
          <w:rFonts w:hint="default" w:ascii="Times New Roman" w:hAnsi="Times New Roman" w:eastAsia="方正楷体_GBK" w:cs="Times New Roman"/>
          <w:b w:val="0"/>
          <w:bCs w:val="0"/>
          <w:color w:val="000000" w:themeColor="text1"/>
          <w:sz w:val="32"/>
          <w:szCs w:val="32"/>
          <w14:textFill>
            <w14:solidFill>
              <w14:schemeClr w14:val="tx1"/>
            </w14:solidFill>
          </w14:textFill>
        </w:rPr>
      </w:pPr>
      <w:r>
        <w:rPr>
          <w:rFonts w:hint="default" w:ascii="Times New Roman" w:hAnsi="Times New Roman" w:eastAsia="方正楷体_GBK" w:cs="Times New Roman"/>
          <w:b w:val="0"/>
          <w:bCs w:val="0"/>
          <w:color w:val="000000" w:themeColor="text1"/>
          <w:sz w:val="32"/>
          <w:szCs w:val="32"/>
          <w14:textFill>
            <w14:solidFill>
              <w14:schemeClr w14:val="tx1"/>
            </w14:solidFill>
          </w14:textFill>
        </w:rPr>
        <w:t>优势条件</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1.交通物流便捷。</w:t>
      </w:r>
      <w:r>
        <w:rPr>
          <w:rFonts w:hint="default" w:ascii="Times New Roman" w:hAnsi="Times New Roman" w:eastAsia="方正仿宋_GBK" w:cs="Times New Roman"/>
          <w:color w:val="000000" w:themeColor="text1"/>
          <w:sz w:val="32"/>
          <w:szCs w:val="32"/>
          <w14:textFill>
            <w14:solidFill>
              <w14:schemeClr w14:val="tx1"/>
            </w14:solidFill>
          </w14:textFill>
        </w:rPr>
        <w:t>作为重庆市委、市政府定位的区域性综合交通物流枢纽，</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已形成</w:t>
      </w:r>
      <w:r>
        <w:rPr>
          <w:rFonts w:hint="default" w:ascii="Times New Roman" w:hAnsi="Times New Roman" w:eastAsia="方正仿宋_GBK" w:cs="Times New Roman"/>
          <w:color w:val="000000" w:themeColor="text1"/>
          <w:sz w:val="32"/>
          <w:szCs w:val="32"/>
          <w14:textFill>
            <w14:solidFill>
              <w14:schemeClr w14:val="tx1"/>
            </w14:solidFill>
          </w14:textFill>
        </w:rPr>
        <w:t>公、铁、水、空、轨多式联运，</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建成“一环六射”高速环线，打造“一环十一射”高速公路网、推进“一枢纽、八干线、三支线”铁路建设、拥有重庆港朱沱港区、大安机场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是重庆市除主城外唯一进入</w:t>
      </w:r>
      <w:r>
        <w:rPr>
          <w:rFonts w:hint="eastAsia" w:ascii="方正仿宋_GBK" w:hAnsi="方正仿宋_GBK" w:eastAsia="方正仿宋_GBK" w:cs="方正仿宋_GBK"/>
          <w:color w:val="000000" w:themeColor="text1"/>
          <w:sz w:val="32"/>
          <w:szCs w:val="32"/>
          <w14:textFill>
            <w14:solidFill>
              <w14:schemeClr w14:val="tx1"/>
            </w14:solidFill>
          </w14:textFill>
        </w:rPr>
        <w:t>“高速环线时代”</w:t>
      </w:r>
      <w:r>
        <w:rPr>
          <w:rFonts w:hint="default" w:ascii="Times New Roman" w:hAnsi="Times New Roman" w:eastAsia="方正仿宋_GBK" w:cs="Times New Roman"/>
          <w:color w:val="000000" w:themeColor="text1"/>
          <w:sz w:val="32"/>
          <w:szCs w:val="32"/>
          <w14:textFill>
            <w14:solidFill>
              <w14:schemeClr w14:val="tx1"/>
            </w14:solidFill>
          </w14:textFill>
        </w:rPr>
        <w:t>区县。</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2.市场辐射广阔。</w:t>
      </w:r>
      <w:r>
        <w:rPr>
          <w:rFonts w:hint="default" w:ascii="Times New Roman" w:hAnsi="Times New Roman" w:eastAsia="方正仿宋_GBK" w:cs="Times New Roman"/>
          <w:color w:val="000000" w:themeColor="text1"/>
          <w:sz w:val="32"/>
          <w:szCs w:val="32"/>
          <w14:textFill>
            <w14:solidFill>
              <w14:schemeClr w14:val="tx1"/>
            </w14:solidFill>
          </w14:textFill>
        </w:rPr>
        <w:t>依托高速路网，300公里半径内可辐射成渝经济区及西南市场；依托长江黄金水道，可辐射长江经济带16个中大型城市；依托中欧（重庆）国际班列，12天抵达德国杜伊斯堡；依托泛亚铁路和中新陆海新通道，可辐射东南亚地区。</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3.产业基础雄厚。</w:t>
      </w:r>
      <w:r>
        <w:rPr>
          <w:rFonts w:hint="default" w:ascii="Times New Roman" w:hAnsi="Times New Roman" w:eastAsia="方正仿宋_GBK" w:cs="Times New Roman"/>
          <w:color w:val="000000" w:themeColor="text1"/>
          <w:sz w:val="32"/>
          <w:szCs w:val="32"/>
          <w14:textFill>
            <w14:solidFill>
              <w14:schemeClr w14:val="tx1"/>
            </w14:solidFill>
          </w14:textFill>
        </w:rPr>
        <w:t>依托国家高新区凤凰湖产业促进中心、港桥产业促进中心、三教产业促进中心、重庆永川综合保税区，着力构建</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5+3</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产业体系，发展壮大汽车摩托车、电子信息、智能装备、智能家居及材料、特色消费品5大支柱产业，创新培育生物医药及大健康、新能源、民用航空3大新兴产业，现已集聚长城汽车、东鹏陶瓷、雅迪电动车等一批百亿级龙头企业，建成全国最大的中高端皮卡生产基地、西南地区最大的生活纸生产基地，助推成渝地区双城经济圈世界级先进制造业集群建设。</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4.人力资源丰富。</w:t>
      </w:r>
      <w:r>
        <w:rPr>
          <w:rFonts w:hint="default" w:ascii="Times New Roman" w:hAnsi="Times New Roman" w:eastAsia="方正仿宋_GBK" w:cs="Times New Roman"/>
          <w:color w:val="000000" w:themeColor="text1"/>
          <w:sz w:val="32"/>
          <w:szCs w:val="32"/>
          <w14:textFill>
            <w14:solidFill>
              <w14:schemeClr w14:val="tx1"/>
            </w14:solidFill>
          </w14:textFill>
        </w:rPr>
        <w:t>现有职业院校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17</w:t>
      </w:r>
      <w:r>
        <w:rPr>
          <w:rFonts w:hint="default" w:ascii="Times New Roman" w:hAnsi="Times New Roman" w:eastAsia="方正仿宋_GBK" w:cs="Times New Roman"/>
          <w:color w:val="000000" w:themeColor="text1"/>
          <w:sz w:val="32"/>
          <w:szCs w:val="32"/>
          <w14:textFill>
            <w14:solidFill>
              <w14:schemeClr w14:val="tx1"/>
            </w14:solidFill>
          </w14:textFill>
        </w:rPr>
        <w:t>所，在校学生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16.3</w:t>
      </w:r>
      <w:r>
        <w:rPr>
          <w:rFonts w:hint="default" w:ascii="Times New Roman" w:hAnsi="Times New Roman" w:eastAsia="方正仿宋_GBK" w:cs="Times New Roman"/>
          <w:color w:val="000000" w:themeColor="text1"/>
          <w:sz w:val="32"/>
          <w:szCs w:val="32"/>
          <w14:textFill>
            <w14:solidFill>
              <w14:schemeClr w14:val="tx1"/>
            </w14:solidFill>
          </w14:textFill>
        </w:rPr>
        <w:t>万人，每年可输出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万多名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永川技工</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以“学校教的，就是工作用的”为理念，</w:t>
      </w:r>
      <w:r>
        <w:rPr>
          <w:rFonts w:hint="default" w:ascii="Times New Roman" w:hAnsi="Times New Roman" w:eastAsia="方正仿宋_GBK" w:cs="Times New Roman"/>
          <w:color w:val="000000" w:themeColor="text1"/>
          <w:sz w:val="32"/>
          <w:szCs w:val="32"/>
          <w14:textFill>
            <w14:solidFill>
              <w14:schemeClr w14:val="tx1"/>
            </w14:solidFill>
          </w14:textFill>
        </w:rPr>
        <w:t>根据</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企业</w:t>
      </w:r>
      <w:r>
        <w:rPr>
          <w:rFonts w:hint="default" w:ascii="Times New Roman" w:hAnsi="Times New Roman" w:eastAsia="方正仿宋_GBK" w:cs="Times New Roman"/>
          <w:color w:val="000000" w:themeColor="text1"/>
          <w:sz w:val="32"/>
          <w:szCs w:val="32"/>
          <w14:textFill>
            <w14:solidFill>
              <w14:schemeClr w14:val="tx1"/>
            </w14:solidFill>
          </w14:textFill>
        </w:rPr>
        <w:t>工艺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开设“订单班”、“</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二级学院</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，一般工人快速上岗；获评</w:t>
      </w:r>
      <w:r>
        <w:rPr>
          <w:rFonts w:hint="eastAsia" w:ascii="方正仿宋_GBK" w:hAnsi="方正仿宋_GBK" w:eastAsia="方正仿宋_GBK" w:cs="方正仿宋_GBK"/>
          <w:color w:val="000000" w:themeColor="text1"/>
          <w:sz w:val="32"/>
          <w:szCs w:val="32"/>
          <w14:textFill>
            <w14:solidFill>
              <w14:schemeClr w14:val="tx1"/>
            </w14:solidFill>
          </w14:textFill>
        </w:rPr>
        <w:t>“国家双创示范基地”。</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5.城市功能完善。</w:t>
      </w:r>
      <w:bookmarkStart w:id="1" w:name="OLE_LINK12"/>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是</w:t>
      </w:r>
      <w:r>
        <w:rPr>
          <w:rFonts w:hint="default" w:ascii="Times New Roman" w:hAnsi="Times New Roman" w:eastAsia="方正仿宋_GBK" w:cs="Times New Roman"/>
          <w:color w:val="000000" w:themeColor="text1"/>
          <w:sz w:val="32"/>
          <w:szCs w:val="32"/>
          <w14:textFill>
            <w14:solidFill>
              <w14:schemeClr w14:val="tx1"/>
            </w14:solidFill>
          </w14:textFill>
        </w:rPr>
        <w:t>区域功能性金融中心、</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区域教育中心、区域医疗中心、区域应急救助中心，拥有</w:t>
      </w:r>
      <w:r>
        <w:rPr>
          <w:rFonts w:hint="default" w:ascii="Times New Roman" w:hAnsi="Times New Roman" w:eastAsia="方正仿宋_GBK" w:cs="Times New Roman"/>
          <w:color w:val="000000" w:themeColor="text1"/>
          <w:sz w:val="32"/>
          <w:szCs w:val="32"/>
          <w14:textFill>
            <w14:solidFill>
              <w14:schemeClr w14:val="tx1"/>
            </w14:solidFill>
          </w14:textFill>
        </w:rPr>
        <w:t>200余家医疗机构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以及2家三甲医院，</w:t>
      </w:r>
      <w:r>
        <w:rPr>
          <w:rFonts w:hint="default" w:ascii="Times New Roman" w:hAnsi="Times New Roman" w:eastAsia="方正仿宋_GBK" w:cs="Times New Roman"/>
          <w:color w:val="000000" w:themeColor="text1"/>
          <w:sz w:val="32"/>
          <w:szCs w:val="32"/>
          <w14:textFill>
            <w14:solidFill>
              <w14:schemeClr w14:val="tx1"/>
            </w14:solidFill>
          </w14:textFill>
        </w:rPr>
        <w:t>通讯网络发达、海关检疫、义务教育资源齐备、科研实力雄厚</w:t>
      </w:r>
      <w:bookmarkEnd w:id="1"/>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pacing w:line="276" w:lineRule="auto"/>
        <w:ind w:firstLine="643"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6.人居环境优美。</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永川</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森林覆盖率49%，空气质量优良天数334天</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，500米一个市民公园，1000米一个休闲广场，2000米一处湖泊景观。</w:t>
      </w:r>
      <w:r>
        <w:rPr>
          <w:rFonts w:hint="default" w:ascii="Times New Roman" w:hAnsi="Times New Roman" w:eastAsia="方正仿宋_GBK" w:cs="Times New Roman"/>
          <w:color w:val="000000" w:themeColor="text1"/>
          <w:sz w:val="32"/>
          <w:szCs w:val="32"/>
          <w14:textFill>
            <w14:solidFill>
              <w14:schemeClr w14:val="tx1"/>
            </w14:solidFill>
          </w14:textFill>
        </w:rPr>
        <w:t>获评</w:t>
      </w:r>
      <w:bookmarkStart w:id="2" w:name="OLE_LINK13"/>
      <w:r>
        <w:rPr>
          <w:rFonts w:hint="default" w:ascii="Times New Roman" w:hAnsi="Times New Roman" w:eastAsia="方正仿宋_GBK" w:cs="Times New Roman"/>
          <w:color w:val="000000" w:themeColor="text1"/>
          <w:sz w:val="32"/>
          <w:szCs w:val="32"/>
          <w14:textFill>
            <w14:solidFill>
              <w14:schemeClr w14:val="tx1"/>
            </w14:solidFill>
          </w14:textFill>
        </w:rPr>
        <w:t>中国优秀旅游城市</w:t>
      </w:r>
      <w:bookmarkEnd w:id="2"/>
      <w:r>
        <w:rPr>
          <w:rFonts w:hint="default" w:ascii="Times New Roman" w:hAnsi="Times New Roman" w:eastAsia="方正仿宋_GBK" w:cs="Times New Roman"/>
          <w:color w:val="000000" w:themeColor="text1"/>
          <w:sz w:val="32"/>
          <w:szCs w:val="32"/>
          <w14:textFill>
            <w14:solidFill>
              <w14:schemeClr w14:val="tx1"/>
            </w14:solidFill>
          </w14:textFill>
        </w:rPr>
        <w:t>、全国森林城市、全国绿化模范城市和中国最具幸福感城市。</w:t>
      </w:r>
    </w:p>
    <w:p>
      <w:pPr>
        <w:pageBreakBefore w:val="0"/>
        <w:kinsoku/>
        <w:wordWrap/>
        <w:overflowPunct/>
        <w:topLinePunct w:val="0"/>
        <w:autoSpaceDE/>
        <w:autoSpaceDN/>
        <w:bidi w:val="0"/>
        <w:adjustRightInd/>
        <w:spacing w:line="276" w:lineRule="auto"/>
        <w:ind w:firstLine="643" w:firstLineChars="200"/>
        <w:jc w:val="both"/>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7.生产要素齐备。</w:t>
      </w:r>
      <w:r>
        <w:rPr>
          <w:rFonts w:hint="default" w:ascii="Times New Roman" w:hAnsi="Times New Roman" w:eastAsia="方正仿宋_GBK" w:cs="Times New Roman"/>
          <w:color w:val="000000" w:themeColor="text1"/>
          <w:sz w:val="32"/>
          <w:szCs w:val="32"/>
          <w14:textFill>
            <w14:solidFill>
              <w14:schemeClr w14:val="tx1"/>
            </w14:solidFill>
          </w14:textFill>
        </w:rPr>
        <w:t>境内资源丰富，煤、石英砂、天然气、石灰石、页岩气储量丰富，水、电、气等生产要素保障能力充足，要素成本低</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各园区项目用地、标准厂房储备充足</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pacing w:line="276" w:lineRule="auto"/>
        <w:jc w:val="center"/>
        <w:textAlignment w:val="auto"/>
        <w:rPr>
          <w:rFonts w:hint="default" w:ascii="Times New Roman" w:hAnsi="Times New Roman" w:eastAsia="黑体" w:cs="Times New Roman"/>
          <w:b/>
          <w:color w:val="000000" w:themeColor="text1"/>
          <w:sz w:val="32"/>
          <w14:textFill>
            <w14:solidFill>
              <w14:schemeClr w14:val="tx1"/>
            </w14:solidFill>
          </w14:textFill>
        </w:rPr>
      </w:pPr>
    </w:p>
    <w:p>
      <w:pPr>
        <w:pageBreakBefore w:val="0"/>
        <w:kinsoku/>
        <w:wordWrap/>
        <w:overflowPunct/>
        <w:topLinePunct w:val="0"/>
        <w:autoSpaceDE/>
        <w:autoSpaceDN/>
        <w:bidi w:val="0"/>
        <w:adjustRightInd/>
        <w:spacing w:line="276" w:lineRule="auto"/>
        <w:jc w:val="center"/>
        <w:textAlignment w:val="auto"/>
        <w:rPr>
          <w:rFonts w:hint="eastAsia" w:ascii="方正黑体_GBK" w:hAnsi="方正黑体_GBK" w:eastAsia="方正黑体_GBK" w:cs="方正黑体_GBK"/>
          <w:b w:val="0"/>
          <w:bCs/>
          <w:color w:val="000000" w:themeColor="text1"/>
          <w:sz w:val="32"/>
          <w14:textFill>
            <w14:solidFill>
              <w14:schemeClr w14:val="tx1"/>
            </w14:solidFill>
          </w14:textFill>
        </w:rPr>
      </w:pPr>
      <w:r>
        <w:rPr>
          <w:rFonts w:hint="eastAsia" w:ascii="方正黑体_GBK" w:hAnsi="方正黑体_GBK" w:eastAsia="方正黑体_GBK" w:cs="方正黑体_GBK"/>
          <w:b w:val="0"/>
          <w:bCs/>
          <w:color w:val="000000" w:themeColor="text1"/>
          <w:sz w:val="32"/>
          <w14:textFill>
            <w14:solidFill>
              <w14:schemeClr w14:val="tx1"/>
            </w14:solidFill>
          </w14:textFill>
        </w:rPr>
        <w:t>永川国家高新区</w:t>
      </w:r>
    </w:p>
    <w:p>
      <w:pPr>
        <w:pageBreakBefore w:val="0"/>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永川国家高新区2018年2月经国务院批准设立，核准面积为16.8087平方公里，管辖面积33.4639平方公里，总体规划面积</w:t>
      </w:r>
      <w:r>
        <w:rPr>
          <w:rFonts w:ascii="Times New Roman" w:hAnsi="Times New Roman" w:eastAsia="方正仿宋_GBK" w:cs="Times New Roman"/>
          <w:color w:val="000000" w:themeColor="text1"/>
          <w:sz w:val="32"/>
          <w:szCs w:val="32"/>
          <w14:textFill>
            <w14:solidFill>
              <w14:schemeClr w14:val="tx1"/>
            </w14:solidFill>
          </w14:textFill>
        </w:rPr>
        <w:t>114.21</w:t>
      </w:r>
      <w:r>
        <w:rPr>
          <w:rFonts w:hint="default" w:ascii="Times New Roman" w:hAnsi="Times New Roman" w:eastAsia="方正仿宋_GBK" w:cs="Times New Roman"/>
          <w:color w:val="000000" w:themeColor="text1"/>
          <w:sz w:val="32"/>
          <w:szCs w:val="32"/>
          <w14:textFill>
            <w14:solidFill>
              <w14:schemeClr w14:val="tx1"/>
            </w14:solidFill>
          </w14:textFill>
        </w:rPr>
        <w:t>平方公里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采取</w:t>
      </w:r>
      <w:r>
        <w:rPr>
          <w:rFonts w:hint="eastAsia" w:ascii="方正仿宋_GBK" w:hAnsi="方正仿宋_GBK" w:eastAsia="方正仿宋_GBK" w:cs="方正仿宋_GBK"/>
          <w:color w:val="000000" w:themeColor="text1"/>
          <w:sz w:val="32"/>
          <w:szCs w:val="32"/>
          <w14:textFill>
            <w14:solidFill>
              <w14:schemeClr w14:val="tx1"/>
            </w14:solidFill>
          </w14:textFill>
        </w:rPr>
        <w:t>“一核两翼”</w:t>
      </w:r>
      <w:r>
        <w:rPr>
          <w:rFonts w:hint="default" w:ascii="Times New Roman" w:hAnsi="Times New Roman" w:eastAsia="方正仿宋_GBK" w:cs="Times New Roman"/>
          <w:color w:val="000000" w:themeColor="text1"/>
          <w:sz w:val="32"/>
          <w:szCs w:val="32"/>
          <w14:textFill>
            <w14:solidFill>
              <w14:schemeClr w14:val="tx1"/>
            </w14:solidFill>
          </w14:textFill>
        </w:rPr>
        <w:t>发展布局，</w:t>
      </w:r>
      <w:r>
        <w:rPr>
          <w:rFonts w:hint="eastAsia" w:ascii="方正仿宋_GBK" w:hAnsi="方正仿宋_GBK" w:eastAsia="方正仿宋_GBK" w:cs="方正仿宋_GBK"/>
          <w:color w:val="000000" w:themeColor="text1"/>
          <w:sz w:val="32"/>
          <w:szCs w:val="32"/>
          <w14:textFill>
            <w14:solidFill>
              <w14:schemeClr w14:val="tx1"/>
            </w14:solidFill>
          </w14:textFill>
        </w:rPr>
        <w:t>“一核”</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即</w:t>
      </w:r>
      <w:r>
        <w:rPr>
          <w:rFonts w:hint="eastAsia" w:ascii="方正仿宋_GBK" w:hAnsi="方正仿宋_GBK" w:eastAsia="方正仿宋_GBK" w:cs="方正仿宋_GBK"/>
          <w:color w:val="000000" w:themeColor="text1"/>
          <w:sz w:val="32"/>
          <w:szCs w:val="32"/>
          <w14:textFill>
            <w14:solidFill>
              <w14:schemeClr w14:val="tx1"/>
            </w14:solidFill>
          </w14:textFill>
        </w:rPr>
        <w:t>凤凰湖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产业园、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大数据</w:t>
      </w:r>
      <w:r>
        <w:rPr>
          <w:rFonts w:hint="default" w:ascii="Times New Roman" w:hAnsi="Times New Roman" w:eastAsia="方正仿宋_GBK" w:cs="Times New Roman"/>
          <w:color w:val="000000" w:themeColor="text1"/>
          <w:sz w:val="32"/>
          <w:szCs w:val="32"/>
          <w14:textFill>
            <w14:solidFill>
              <w14:schemeClr w14:val="tx1"/>
            </w14:solidFill>
          </w14:textFill>
        </w:rPr>
        <w:t>产业园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职教产业园，规划面积64.35平方公里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“两翼”即</w:t>
      </w:r>
      <w:r>
        <w:rPr>
          <w:rFonts w:hint="eastAsia" w:ascii="方正仿宋_GBK" w:hAnsi="方正仿宋_GBK" w:eastAsia="方正仿宋_GBK" w:cs="方正仿宋_GBK"/>
          <w:color w:val="000000" w:themeColor="text1"/>
          <w:sz w:val="32"/>
          <w:szCs w:val="32"/>
          <w14:textFill>
            <w14:solidFill>
              <w14:schemeClr w14:val="tx1"/>
            </w14:solidFill>
          </w14:textFill>
        </w:rPr>
        <w:t>南</w:t>
      </w:r>
      <w:r>
        <w:rPr>
          <w:rFonts w:hint="default" w:ascii="Times New Roman" w:hAnsi="Times New Roman" w:eastAsia="方正仿宋_GBK" w:cs="Times New Roman"/>
          <w:color w:val="000000" w:themeColor="text1"/>
          <w:sz w:val="32"/>
          <w:szCs w:val="32"/>
          <w14:textFill>
            <w14:solidFill>
              <w14:schemeClr w14:val="tx1"/>
            </w14:solidFill>
          </w14:textFill>
        </w:rPr>
        <w:t>翼港桥产业园，规划面积</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35.8</w:t>
      </w:r>
      <w:r>
        <w:rPr>
          <w:rFonts w:hint="default" w:ascii="Times New Roman" w:hAnsi="Times New Roman" w:eastAsia="方正仿宋_GBK" w:cs="Times New Roman"/>
          <w:color w:val="000000" w:themeColor="text1"/>
          <w:sz w:val="32"/>
          <w:szCs w:val="32"/>
          <w14:textFill>
            <w14:solidFill>
              <w14:schemeClr w14:val="tx1"/>
            </w14:solidFill>
          </w14:textFill>
        </w:rPr>
        <w:t>平方公里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北翼三教产业园</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，规划面积</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14.06</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平方公里</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凤凰湖产业</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位于永川中心城区南部，规划面积50平方公里，已建成23</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平方公里。入驻长城汽车、雅迪电动车、德国埃斯维、德国利勃海尔、中船重工、固高科技、川亿电脑、致伸科技、西源凸轮轴、华中数控、中交世通等企业394家。以青岛动投、中车四方机车共同投资的轨道交通产业；以星星冷链为龙头的白色家电产业。2021年凤凰湖产业园产值达到991.1亿元，同比增长21.4%</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产业发展方向</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汽车摩托车、智能装备</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电子信息</w:t>
      </w:r>
      <w:r>
        <w:rPr>
          <w:rFonts w:hint="default" w:ascii="Times New Roman" w:hAnsi="Times New Roman" w:eastAsia="方正仿宋_GBK" w:cs="Times New Roman"/>
          <w:color w:val="000000" w:themeColor="text1"/>
          <w:sz w:val="32"/>
          <w:szCs w:val="32"/>
          <w14:textFill>
            <w14:solidFill>
              <w14:schemeClr w14:val="tx1"/>
            </w14:solidFill>
          </w14:textFill>
        </w:rPr>
        <w:t>等。</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港桥产业</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园</w:t>
      </w:r>
    </w:p>
    <w:p>
      <w:pPr>
        <w:pageBreakBefore w:val="0"/>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位于永川南部副中心，地处川渝黔交界，紧临长江黄金水道，规划面积</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35.8</w:t>
      </w:r>
      <w:r>
        <w:rPr>
          <w:rFonts w:hint="default" w:ascii="Times New Roman" w:hAnsi="Times New Roman" w:eastAsia="方正仿宋_GBK" w:cs="Times New Roman"/>
          <w:color w:val="000000" w:themeColor="text1"/>
          <w:sz w:val="32"/>
          <w:szCs w:val="32"/>
          <w14:textFill>
            <w14:solidFill>
              <w14:schemeClr w14:val="tx1"/>
            </w14:solidFill>
          </w14:textFill>
        </w:rPr>
        <w:t>平方公里，已建成</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13.6</w:t>
      </w:r>
      <w:r>
        <w:rPr>
          <w:rFonts w:hint="default" w:ascii="Times New Roman" w:hAnsi="Times New Roman" w:eastAsia="方正仿宋_GBK" w:cs="Times New Roman"/>
          <w:color w:val="000000" w:themeColor="text1"/>
          <w:sz w:val="32"/>
          <w:szCs w:val="32"/>
          <w14:textFill>
            <w14:solidFill>
              <w14:schemeClr w14:val="tx1"/>
            </w14:solidFill>
          </w14:textFill>
        </w:rPr>
        <w:t>平方公里</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，入驻</w:t>
      </w:r>
      <w:r>
        <w:rPr>
          <w:rFonts w:hint="default" w:ascii="Times New Roman" w:hAnsi="Times New Roman" w:eastAsia="方正仿宋_GBK" w:cs="Times New Roman"/>
          <w:color w:val="000000" w:themeColor="text1"/>
          <w:sz w:val="32"/>
          <w:szCs w:val="32"/>
          <w14:textFill>
            <w14:solidFill>
              <w14:schemeClr w14:val="tx1"/>
            </w14:solidFill>
          </w14:textFill>
        </w:rPr>
        <w:t>理文造纸、</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吉美达木业、</w:t>
      </w:r>
      <w:r>
        <w:rPr>
          <w:rFonts w:hint="default" w:ascii="Times New Roman" w:hAnsi="Times New Roman" w:eastAsia="方正仿宋_GBK" w:cs="Times New Roman"/>
          <w:color w:val="000000" w:themeColor="text1"/>
          <w:sz w:val="32"/>
          <w:szCs w:val="32"/>
          <w14:textFill>
            <w14:solidFill>
              <w14:schemeClr w14:val="tx1"/>
            </w14:solidFill>
          </w14:textFill>
        </w:rPr>
        <w:t>山东宏鑫源、泰石岩棉、新格再生铝</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西部港桥木材交易市场</w:t>
      </w:r>
      <w:r>
        <w:rPr>
          <w:rFonts w:hint="default" w:ascii="Times New Roman" w:hAnsi="Times New Roman" w:eastAsia="方正仿宋_GBK" w:cs="Times New Roman"/>
          <w:color w:val="000000" w:themeColor="text1"/>
          <w:sz w:val="32"/>
          <w:szCs w:val="32"/>
          <w14:textFill>
            <w14:solidFill>
              <w14:schemeClr w14:val="tx1"/>
            </w14:solidFill>
          </w14:textFill>
        </w:rPr>
        <w:t>等企业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164家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2021年港桥产业园产值达到256.3亿元，同比增长26.1%。</w:t>
      </w:r>
    </w:p>
    <w:p>
      <w:pPr>
        <w:pageBreakBefore w:val="0"/>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产业发展方向</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木和木制品、纸和纸制品、新型材料、新型能源利用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物流及专业市场</w:t>
      </w:r>
      <w:r>
        <w:rPr>
          <w:rFonts w:hint="default" w:ascii="Times New Roman" w:hAnsi="Times New Roman" w:eastAsia="方正仿宋_GBK" w:cs="Times New Roman"/>
          <w:color w:val="000000" w:themeColor="text1"/>
          <w:sz w:val="32"/>
          <w:szCs w:val="32"/>
          <w14:textFill>
            <w14:solidFill>
              <w14:schemeClr w14:val="tx1"/>
            </w14:solidFill>
          </w14:textFill>
        </w:rPr>
        <w:t>等。</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三教产业</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园</w:t>
      </w:r>
    </w:p>
    <w:p>
      <w:pPr>
        <w:pageBreakBefore w:val="0"/>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位于永川北部副中心，处成渝经济区腹地，与荣昌、大足、铜梁三区交汇，园区总体规划面积约14.06平方公里，现已建成核心区7平方公里。入驻东鹏陶瓷、帝王洁具、新明珠、江山欧派、环球锦标、自嗨锅、好邻居等企业142家。逐步壮大百亿级智能家居产业集群、着力培育壮大食品产业集群。2021年三教产业园产值120亿元，同比增长32.3%。 </w:t>
      </w:r>
    </w:p>
    <w:p>
      <w:pPr>
        <w:pageBreakBefore w:val="0"/>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r>
        <w:rPr>
          <w:rFonts w:hint="default" w:ascii="Times New Roman" w:hAnsi="Times New Roman" w:eastAsia="方正仿宋_GBK" w:cs="Times New Roman"/>
          <w:b/>
          <w:bCs/>
          <w:color w:val="000000" w:themeColor="text1"/>
          <w:sz w:val="32"/>
          <w:szCs w:val="32"/>
          <w14:textFill>
            <w14:solidFill>
              <w14:schemeClr w14:val="tx1"/>
            </w14:solidFill>
          </w14:textFill>
        </w:rPr>
        <w:t>发展方向：</w:t>
      </w:r>
      <w:r>
        <w:rPr>
          <w:rStyle w:val="10"/>
          <w:rFonts w:hint="default" w:ascii="Times New Roman" w:hAnsi="Times New Roman" w:eastAsia="方正仿宋_GBK" w:cs="Times New Roman"/>
          <w:b w:val="0"/>
          <w:color w:val="000000" w:themeColor="text1"/>
          <w:sz w:val="32"/>
          <w:szCs w:val="32"/>
          <w14:textFill>
            <w14:solidFill>
              <w14:schemeClr w14:val="tx1"/>
            </w14:solidFill>
          </w14:textFill>
        </w:rPr>
        <w:t>陶瓷、智能家居、食品、消费品工业</w:t>
      </w:r>
      <w:r>
        <w:rPr>
          <w:rFonts w:hint="eastAsia" w:eastAsia="方正仿宋_GBK"/>
          <w:color w:val="000000" w:themeColor="text1"/>
          <w:sz w:val="32"/>
          <w:szCs w:val="32"/>
          <w:lang w:val="en-US" w:eastAsia="zh-CN"/>
          <w14:textFill>
            <w14:solidFill>
              <w14:schemeClr w14:val="tx1"/>
            </w14:solidFill>
          </w14:textFill>
        </w:rPr>
        <w:t>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重庆云谷·永川</w:t>
      </w:r>
      <w:r>
        <w:rPr>
          <w:rFonts w:hint="default" w:ascii="Times New Roman" w:hAnsi="Times New Roman" w:eastAsia="方正仿宋_GBK" w:cs="Times New Roman"/>
          <w:b/>
          <w:bCs/>
          <w:color w:val="000000" w:themeColor="text1"/>
          <w:sz w:val="32"/>
          <w:szCs w:val="32"/>
          <w14:textFill>
            <w14:solidFill>
              <w14:schemeClr w14:val="tx1"/>
            </w14:solidFill>
          </w14:textFill>
        </w:rPr>
        <w:t>大数据产业</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园</w:t>
      </w:r>
    </w:p>
    <w:p>
      <w:pPr>
        <w:pageBreakBefore w:val="0"/>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位于永川新城核心区，规划面积3平方公里，现已建成1平方公里，包括兴龙湖、神女湖和高铁站三个片区，建成</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一园五区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产业布局，投用产业楼宇、人才公寓70万平方米，</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入驻</w:t>
      </w:r>
      <w:r>
        <w:rPr>
          <w:rFonts w:hint="default" w:ascii="Times New Roman" w:hAnsi="Times New Roman" w:eastAsia="方正仿宋_GBK" w:cs="Times New Roman"/>
          <w:color w:val="000000" w:themeColor="text1"/>
          <w:sz w:val="32"/>
          <w:szCs w:val="32"/>
          <w14:textFill>
            <w14:solidFill>
              <w14:schemeClr w14:val="tx1"/>
            </w14:solidFill>
          </w14:textFill>
        </w:rPr>
        <w:t>阿里巴巴、百度、携程网、爱奇艺、科大讯飞等企业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434</w:t>
      </w:r>
      <w:r>
        <w:rPr>
          <w:rFonts w:hint="default" w:ascii="Times New Roman" w:hAnsi="Times New Roman" w:eastAsia="方正仿宋_GBK" w:cs="Times New Roman"/>
          <w:color w:val="000000" w:themeColor="text1"/>
          <w:sz w:val="32"/>
          <w:szCs w:val="32"/>
          <w14:textFill>
            <w14:solidFill>
              <w14:schemeClr w14:val="tx1"/>
            </w14:solidFill>
          </w14:textFill>
        </w:rPr>
        <w:t>家，从业人员1.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万人，2021年营收突破326亿元，是国家服务外包示范区、中国服务外包十强园区、中国最具活力软件园、国家小微企业创业创新示范基地</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2021年中国软件与信息服务业年度示范产业园区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重庆市文化产业示范园区、重庆市重点软件园（特色型）</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重庆单体规模最大的大数据产业园。</w:t>
      </w:r>
    </w:p>
    <w:p>
      <w:pPr>
        <w:pageBreakBefore w:val="0"/>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r>
        <w:rPr>
          <w:rFonts w:hint="default" w:ascii="Times New Roman" w:hAnsi="Times New Roman" w:eastAsia="方正仿宋_GBK" w:cs="Times New Roman"/>
          <w:b/>
          <w:bCs/>
          <w:color w:val="000000" w:themeColor="text1"/>
          <w:sz w:val="32"/>
          <w:szCs w:val="32"/>
          <w14:textFill>
            <w14:solidFill>
              <w14:schemeClr w14:val="tx1"/>
            </w14:solidFill>
          </w14:textFill>
        </w:rPr>
        <w:t>发展方向：</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数字经济</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、服务外包、云计算、人工智能及物联网、</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新型电商</w:t>
      </w:r>
      <w:r>
        <w:rPr>
          <w:rFonts w:hint="default" w:ascii="Times New Roman" w:hAnsi="Times New Roman" w:eastAsia="方正仿宋_GBK" w:cs="Times New Roman"/>
          <w:color w:val="000000" w:themeColor="text1"/>
          <w:sz w:val="32"/>
          <w:szCs w:val="32"/>
          <w14:textFill>
            <w14:solidFill>
              <w14:schemeClr w14:val="tx1"/>
            </w14:solidFill>
          </w14:textFill>
        </w:rPr>
        <w:t>等。</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永川综合保税区</w:t>
      </w:r>
    </w:p>
    <w:p>
      <w:pPr>
        <w:pStyle w:val="2"/>
        <w:keepNext w:val="0"/>
        <w:keepLines w:val="0"/>
        <w:pageBreakBefore w:val="0"/>
        <w:widowControl w:val="0"/>
        <w:kinsoku/>
        <w:wordWrap/>
        <w:overflowPunct/>
        <w:topLinePunct w:val="0"/>
        <w:autoSpaceDE/>
        <w:autoSpaceDN/>
        <w:bidi w:val="0"/>
        <w:adjustRightInd/>
        <w:snapToGri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永川综保区位于永川中心城区南部，永川国家高新技术开发区、中国（重庆）自贸试验区永川联动创新区内，规划面积1.11平方公里，围网外配套产业发展区30平方公里，首期总建筑面积8.8万平方米。现已入驻国药集团、</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雅培制药</w:t>
      </w:r>
      <w:r>
        <w:rPr>
          <w:rFonts w:hint="default" w:ascii="Times New Roman" w:hAnsi="Times New Roman" w:eastAsia="方正仿宋_GBK" w:cs="Times New Roman"/>
          <w:color w:val="000000" w:themeColor="text1"/>
          <w:sz w:val="32"/>
          <w:szCs w:val="32"/>
          <w14:textFill>
            <w14:solidFill>
              <w14:schemeClr w14:val="tx1"/>
            </w14:solidFill>
          </w14:textFill>
        </w:rPr>
        <w:t>、重庆中基、肯尼亚中国中心等项目21个。</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r>
        <w:rPr>
          <w:rFonts w:hint="default" w:ascii="Times New Roman" w:hAnsi="Times New Roman" w:eastAsia="方正仿宋_GBK" w:cs="Times New Roman"/>
          <w:b/>
          <w:bCs/>
          <w:color w:val="000000" w:themeColor="text1"/>
          <w:sz w:val="32"/>
          <w:szCs w:val="32"/>
          <w14:textFill>
            <w14:solidFill>
              <w14:schemeClr w14:val="tx1"/>
            </w14:solidFill>
          </w14:textFill>
        </w:rPr>
        <w:t>发展方向：</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汽摩整车和零部、智能装备、医疗器械、电子信息等产业为主导的研发设计、加工制造、物流分拨、检测维修、销售服务等保税五大业态。</w:t>
      </w:r>
    </w:p>
    <w:p>
      <w:pPr>
        <w:pageBreakBefore w:val="0"/>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永川科技生态新城</w:t>
      </w:r>
    </w:p>
    <w:p>
      <w:pPr>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永川科技生态</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城地处重庆西三环</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高速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与成渝</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高速</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主轴线，距离重庆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新</w:t>
      </w:r>
      <w:r>
        <w:rPr>
          <w:rFonts w:hint="eastAsia" w:ascii="方正仿宋_GBK" w:hAnsi="方正仿宋_GBK" w:eastAsia="方正仿宋_GBK" w:cs="方正仿宋_GBK"/>
          <w:color w:val="000000" w:themeColor="text1"/>
          <w:sz w:val="32"/>
          <w:szCs w:val="32"/>
          <w14:textFill>
            <w14:solidFill>
              <w14:schemeClr w14:val="tx1"/>
            </w14:solidFill>
          </w14:textFill>
        </w:rPr>
        <w:t>机场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仅</w:t>
      </w:r>
      <w:r>
        <w:rPr>
          <w:rFonts w:hint="default" w:ascii="Times New Roman" w:hAnsi="Times New Roman" w:eastAsia="方正仿宋_GBK" w:cs="Times New Roman"/>
          <w:color w:val="000000" w:themeColor="text1"/>
          <w:sz w:val="32"/>
          <w:szCs w:val="32"/>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公里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兼具高铁、高速、轨道交通之利，是成渝交通的战略要冲，交通优势比肩成都东部新城。新城规划面积</w:t>
      </w:r>
      <w:r>
        <w:rPr>
          <w:rFonts w:hint="default" w:ascii="Times New Roman" w:hAnsi="Times New Roman" w:eastAsia="方正仿宋_GBK" w:cs="Times New Roman"/>
          <w:color w:val="000000" w:themeColor="text1"/>
          <w:sz w:val="32"/>
          <w:szCs w:val="32"/>
          <w14:textFill>
            <w14:solidFill>
              <w14:schemeClr w14:val="tx1"/>
            </w14:solidFill>
          </w14:textFill>
        </w:rPr>
        <w:t>60</w:t>
      </w:r>
      <w:r>
        <w:rPr>
          <w:rFonts w:hint="eastAsia" w:ascii="方正仿宋_GBK" w:hAnsi="方正仿宋_GBK" w:eastAsia="方正仿宋_GBK" w:cs="方正仿宋_GBK"/>
          <w:color w:val="000000" w:themeColor="text1"/>
          <w:sz w:val="32"/>
          <w:szCs w:val="32"/>
          <w14:textFill>
            <w14:solidFill>
              <w14:schemeClr w14:val="tx1"/>
            </w14:solidFill>
          </w14:textFill>
        </w:rPr>
        <w:t>平方公里，建设用地规模</w:t>
      </w:r>
      <w:r>
        <w:rPr>
          <w:rFonts w:hint="default" w:ascii="Times New Roman" w:hAnsi="Times New Roman" w:eastAsia="方正仿宋_GBK" w:cs="Times New Roman"/>
          <w:color w:val="000000" w:themeColor="text1"/>
          <w:sz w:val="32"/>
          <w:szCs w:val="32"/>
          <w14:textFill>
            <w14:solidFill>
              <w14:schemeClr w14:val="tx1"/>
            </w14:solidFill>
          </w14:textFill>
        </w:rPr>
        <w:t>26.4</w:t>
      </w:r>
      <w:r>
        <w:rPr>
          <w:rFonts w:hint="eastAsia" w:ascii="方正仿宋_GBK" w:hAnsi="方正仿宋_GBK" w:eastAsia="方正仿宋_GBK" w:cs="方正仿宋_GBK"/>
          <w:color w:val="000000" w:themeColor="text1"/>
          <w:sz w:val="32"/>
          <w:szCs w:val="32"/>
          <w14:textFill>
            <w14:solidFill>
              <w14:schemeClr w14:val="tx1"/>
            </w14:solidFill>
          </w14:textFill>
        </w:rPr>
        <w:t>平方公里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区内</w:t>
      </w:r>
      <w:r>
        <w:rPr>
          <w:rFonts w:hint="eastAsia" w:ascii="方正仿宋_GBK" w:hAnsi="方正仿宋_GBK" w:eastAsia="方正仿宋_GBK" w:cs="方正仿宋_GBK"/>
          <w:color w:val="000000" w:themeColor="text1"/>
          <w:sz w:val="32"/>
          <w:szCs w:val="32"/>
          <w14:textFill>
            <w14:solidFill>
              <w14:schemeClr w14:val="tx1"/>
            </w14:solidFill>
          </w14:textFill>
        </w:rPr>
        <w:t>兴业大道已建成通车，渝西区域医疗中心（应急医院）项目已破土动工，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生物技术产业园已完成概念方案，</w:t>
      </w:r>
      <w:r>
        <w:rPr>
          <w:rFonts w:hint="eastAsia" w:ascii="方正仿宋_GBK" w:hAnsi="方正仿宋_GBK" w:eastAsia="方正仿宋_GBK" w:cs="方正仿宋_GBK"/>
          <w:color w:val="000000" w:themeColor="text1"/>
          <w:sz w:val="32"/>
          <w:szCs w:val="32"/>
          <w14:textFill>
            <w14:solidFill>
              <w14:schemeClr w14:val="tx1"/>
            </w14:solidFill>
          </w14:textFill>
        </w:rPr>
        <w:t>重庆文理学院城东校区、重庆电子工程职业学院已完成选址，纵一路已启动道路施工图设计，计划年内启动建设。</w:t>
      </w:r>
    </w:p>
    <w:p>
      <w:pPr>
        <w:ind w:firstLine="643"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产业发展方向：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生物医药及大健康、民用航空、</w:t>
      </w:r>
      <w:r>
        <w:rPr>
          <w:rFonts w:hint="eastAsia" w:ascii="方正仿宋_GBK" w:hAnsi="方正仿宋_GBK" w:eastAsia="方正仿宋_GBK" w:cs="方正仿宋_GBK"/>
          <w:color w:val="000000" w:themeColor="text1"/>
          <w:sz w:val="32"/>
          <w:szCs w:val="32"/>
          <w14:textFill>
            <w14:solidFill>
              <w14:schemeClr w14:val="tx1"/>
            </w14:solidFill>
          </w14:textFill>
        </w:rPr>
        <w:t>科技创新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现代职业教育</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等。</w:t>
      </w:r>
    </w:p>
    <w:p>
      <w:pPr>
        <w:pStyle w:val="2"/>
        <w:keepNext w:val="0"/>
        <w:keepLines w:val="0"/>
        <w:pageBreakBefore w:val="0"/>
        <w:widowControl w:val="0"/>
        <w:kinsoku/>
        <w:wordWrap/>
        <w:overflowPunct/>
        <w:topLinePunct w:val="0"/>
        <w:autoSpaceDE/>
        <w:autoSpaceDN/>
        <w:bidi w:val="0"/>
        <w:adjustRightInd/>
        <w:snapToGrid/>
        <w:spacing w:line="276" w:lineRule="auto"/>
        <w:ind w:firstLine="420" w:firstLineChars="200"/>
        <w:textAlignment w:val="auto"/>
        <w:rPr>
          <w:rFonts w:hint="eastAsia" w:eastAsia="方正仿宋_GBK"/>
          <w:color w:val="000000" w:themeColor="text1"/>
          <w:lang w:val="en-US" w:eastAsia="zh-CN"/>
          <w14:textFill>
            <w14:solidFill>
              <w14:schemeClr w14:val="tx1"/>
            </w14:solidFill>
          </w14:textFill>
        </w:rPr>
      </w:pPr>
    </w:p>
    <w:p>
      <w:pPr>
        <w:pageBreakBefore w:val="0"/>
        <w:kinsoku/>
        <w:wordWrap/>
        <w:overflowPunct/>
        <w:topLinePunct w:val="0"/>
        <w:autoSpaceDE/>
        <w:autoSpaceDN/>
        <w:bidi w:val="0"/>
        <w:adjustRightInd/>
        <w:spacing w:line="276" w:lineRule="auto"/>
        <w:jc w:val="both"/>
        <w:textAlignment w:val="auto"/>
        <w:rPr>
          <w:rFonts w:hint="default" w:ascii="Times New Roman" w:hAnsi="Times New Roman" w:eastAsia="黑体" w:cs="Times New Roman"/>
          <w:b/>
          <w:color w:val="000000" w:themeColor="text1"/>
          <w:sz w:val="32"/>
          <w14:textFill>
            <w14:solidFill>
              <w14:schemeClr w14:val="tx1"/>
            </w14:solidFill>
          </w14:textFill>
        </w:rPr>
      </w:pPr>
    </w:p>
    <w:p>
      <w:pPr>
        <w:pageBreakBefore w:val="0"/>
        <w:kinsoku/>
        <w:wordWrap/>
        <w:overflowPunct/>
        <w:topLinePunct w:val="0"/>
        <w:autoSpaceDE/>
        <w:autoSpaceDN/>
        <w:bidi w:val="0"/>
        <w:adjustRightInd/>
        <w:spacing w:line="276" w:lineRule="auto"/>
        <w:jc w:val="center"/>
        <w:textAlignment w:val="auto"/>
        <w:rPr>
          <w:rFonts w:hint="eastAsia" w:ascii="方正黑体_GBK" w:hAnsi="方正黑体_GBK" w:eastAsia="方正黑体_GBK" w:cs="方正黑体_GBK"/>
          <w:b w:val="0"/>
          <w:bCs/>
          <w:color w:val="000000" w:themeColor="text1"/>
          <w:sz w:val="32"/>
          <w14:textFill>
            <w14:solidFill>
              <w14:schemeClr w14:val="tx1"/>
            </w14:solidFill>
          </w14:textFill>
        </w:rPr>
      </w:pPr>
      <w:r>
        <w:rPr>
          <w:rFonts w:hint="eastAsia" w:ascii="方正黑体_GBK" w:hAnsi="方正黑体_GBK" w:eastAsia="方正黑体_GBK" w:cs="方正黑体_GBK"/>
          <w:b w:val="0"/>
          <w:bCs/>
          <w:color w:val="000000" w:themeColor="text1"/>
          <w:sz w:val="32"/>
          <w14:textFill>
            <w14:solidFill>
              <w14:schemeClr w14:val="tx1"/>
            </w14:solidFill>
          </w14:textFill>
        </w:rPr>
        <w:t>支柱产业</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1.汽车摩托车</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汽车产业：以“长城汽车”为代表的整车企业；以“瑞悦车业”为代表的汽车代工企业；以“蜂巢动力发动机”、“蜂巢传动9AT变速器”、“诺博内外饰”、“精工底盘”、“曼德汽车电子电器”为代表的关重部件企业齐聚永川，目前已形成“3+2+1+N”汽车制造产业体系。</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摩托车产业：产量、销量、销售额列全球第一的雅迪电动摩托车落户永川，建设年产600万辆（其中：出口100万辆）生产基地；车架、轮毂、减震、车灯、塑件、电控等20余家配套企业齐聚永川，永川已成为西部地区最大的新能源摩托车产业集聚地。</w:t>
      </w:r>
    </w:p>
    <w:p>
      <w:pPr>
        <w:pStyle w:val="2"/>
        <w:pageBreakBefore w:val="0"/>
        <w:numPr>
          <w:ilvl w:val="0"/>
          <w:numId w:val="0"/>
        </w:numPr>
        <w:kinsoku/>
        <w:wordWrap/>
        <w:overflowPunct/>
        <w:topLinePunct w:val="0"/>
        <w:autoSpaceDE/>
        <w:autoSpaceDN/>
        <w:bidi w:val="0"/>
        <w:spacing w:line="276" w:lineRule="auto"/>
        <w:ind w:firstLine="643"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智能装备产业：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埃斯维（机床行业的</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“保时捷”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）、利勃海尔（机械行业排名全球第四）、台正、华中数控、广数机器人、固高长江研究院、乔柏、迈雷特、恒拓高、萨博途斯等高端机床、普及型机床、研发检测、关重部件齐聚永川。</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3.电子信息产业：</w:t>
      </w:r>
      <w:r>
        <w:rPr>
          <w:rFonts w:hint="default" w:ascii="Times New Roman" w:hAnsi="Times New Roman" w:eastAsia="方正仿宋_GBK" w:cs="Times New Roman"/>
          <w:color w:val="000000" w:themeColor="text1"/>
          <w:sz w:val="32"/>
          <w:szCs w:val="32"/>
          <w14:textFill>
            <w14:solidFill>
              <w14:schemeClr w14:val="tx1"/>
            </w14:solidFill>
          </w14:textFill>
        </w:rPr>
        <w:t>致伸科技（鼠标制造占全球份额1/4以上）、川亿电脑（母公司华科事业群笔记本PCB全球销量第一、电视PCB全球第二、被动组件和记忆体封装测试全球第三）、富胜科技、台川橡塑（苹果公司配套）、永信科技（母公司长信科技ITO导电玻璃国际龙头）等41家企业建成投产。新引进全球最大的笔记本背光模组生产企业德朔电子、业界唯一拥有半固态射出成型与压铸成型等镁铝成型双项制程技术的汉达电子。</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4.特色</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消费品产业</w:t>
      </w:r>
      <w:r>
        <w:rPr>
          <w:rFonts w:hint="default" w:ascii="Times New Roman" w:hAnsi="Times New Roman" w:eastAsia="方正仿宋_GBK" w:cs="Times New Roman"/>
          <w:color w:val="000000" w:themeColor="text1"/>
          <w:sz w:val="32"/>
          <w:szCs w:val="32"/>
          <w14:textFill>
            <w14:solidFill>
              <w14:schemeClr w14:val="tx1"/>
            </w14:solidFill>
          </w14:textFill>
        </w:rPr>
        <w:t>：形成了纸业以理文造纸、理文卫生用纸及后加工企业、包装印刷企业为主，木业以围绕木材产业园发展为主</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食品产业以自嗨锅</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快消</w:t>
      </w:r>
      <w:r>
        <w:rPr>
          <w:rFonts w:hint="default" w:ascii="Times New Roman" w:hAnsi="Times New Roman" w:eastAsia="方正仿宋_GBK" w:cs="Times New Roman"/>
          <w:color w:val="000000" w:themeColor="text1"/>
          <w:sz w:val="32"/>
          <w:szCs w:val="32"/>
          <w14:textFill>
            <w14:solidFill>
              <w14:schemeClr w14:val="tx1"/>
            </w14:solidFill>
          </w14:textFill>
        </w:rPr>
        <w:t>食品、</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休闲食品及</w:t>
      </w:r>
      <w:r>
        <w:rPr>
          <w:rFonts w:hint="default" w:ascii="Times New Roman" w:hAnsi="Times New Roman" w:eastAsia="方正仿宋_GBK" w:cs="Times New Roman"/>
          <w:color w:val="000000" w:themeColor="text1"/>
          <w:sz w:val="32"/>
          <w:szCs w:val="32"/>
          <w14:textFill>
            <w14:solidFill>
              <w14:schemeClr w14:val="tx1"/>
            </w14:solidFill>
          </w14:textFill>
        </w:rPr>
        <w:t>地方特色调味品为主</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的格局</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智能家居及材料产业</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已</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入驻东鹏陶瓷、新格再生铝、帝王洁具、江山欧派、中交PC预制件、泰石岩棉、新明珠陶瓷等，规模以上先进材料企业共计71家。7个国家级和省部级科研平台</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和5家材料行业国家级高新技术企业。</w:t>
      </w:r>
    </w:p>
    <w:p>
      <w:pPr>
        <w:pStyle w:val="2"/>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pStyle w:val="2"/>
        <w:jc w:val="center"/>
        <w:rPr>
          <w:rFonts w:hint="eastAsia" w:ascii="方正黑体_GBK" w:hAnsi="方正黑体_GBK" w:eastAsia="方正黑体_GBK" w:cs="方正黑体_GBK"/>
          <w:b w:val="0"/>
          <w:bCs/>
          <w:color w:val="000000" w:themeColor="text1"/>
          <w:sz w:val="32"/>
          <w:lang w:val="en-US" w:eastAsia="zh-CN"/>
          <w14:textFill>
            <w14:solidFill>
              <w14:schemeClr w14:val="tx1"/>
            </w14:solidFill>
          </w14:textFill>
        </w:rPr>
      </w:pPr>
    </w:p>
    <w:p>
      <w:pPr>
        <w:pStyle w:val="2"/>
        <w:jc w:val="center"/>
        <w:rPr>
          <w:rFonts w:hint="eastAsia"/>
          <w:color w:val="000000" w:themeColor="text1"/>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lang w:val="en-US" w:eastAsia="zh-CN"/>
          <w14:textFill>
            <w14:solidFill>
              <w14:schemeClr w14:val="tx1"/>
            </w14:solidFill>
          </w14:textFill>
        </w:rPr>
        <w:t>新兴</w:t>
      </w:r>
      <w:r>
        <w:rPr>
          <w:rFonts w:hint="eastAsia" w:ascii="方正黑体_GBK" w:hAnsi="方正黑体_GBK" w:eastAsia="方正黑体_GBK" w:cs="方正黑体_GBK"/>
          <w:b w:val="0"/>
          <w:bCs/>
          <w:color w:val="000000" w:themeColor="text1"/>
          <w:sz w:val="32"/>
          <w14:textFill>
            <w14:solidFill>
              <w14:schemeClr w14:val="tx1"/>
            </w14:solidFill>
          </w14:textFill>
        </w:rPr>
        <w:t>产业</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1.生物医药及大健康</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引进了全国最大出口医疗护理用床生产企业河北普康、高端医疗器械耗材生产企业麦亚医疗科技、国内首家登录主板上市的研发CRO类公司北京新领先等医疗器械、研发类项目</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，区域拥有30余家国内知名医药销售企业。</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p>
      <w:pPr>
        <w:pStyle w:val="2"/>
        <w:ind w:firstLine="643" w:firstLineChars="200"/>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cs="Times New Roman"/>
          <w:b/>
          <w:bCs/>
          <w:color w:val="000000" w:themeColor="text1"/>
          <w:sz w:val="32"/>
          <w:szCs w:val="32"/>
          <w:lang w:val="en-US" w:eastAsia="zh-CN"/>
          <w14:textFill>
            <w14:solidFill>
              <w14:schemeClr w14:val="tx1"/>
            </w14:solidFill>
          </w14:textFill>
        </w:rPr>
        <w:t>2.</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新能源</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产业</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重庆永川高新区设立了新材料产业区。主要布局以锂电池材料产业链延伸产业，重点发展电池级锂材料、负极材料、隔膜材料、电解液、废料回收，光伏材料（电池组装、光伏玻璃、胶膜）、釉面材料等。到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2025</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年，力争新材料产业产值达到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亿元，到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2035</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年，实现新材料产业总规模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亿元以上。</w:t>
      </w:r>
    </w:p>
    <w:p>
      <w:pPr>
        <w:pStyle w:val="2"/>
        <w:ind w:firstLine="643"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3.民用航空产业：</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大安通用机场场址位于距永川城区东约</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公里的大安街道，为一类通用机场，跑道长度</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米，占地</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1200</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亩，总投资</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亿元，主要用于开展试飞、飞行训练、应急救援、商务飞行、旅游观光等方面。大安通用机场除了提供应急救援外，还将拓展机场功能，适应地区经济、商务活动需要，开通固定翼小飞机、直升机的低空商务航线。</w:t>
      </w:r>
    </w:p>
    <w:p>
      <w:pPr>
        <w:pStyle w:val="2"/>
        <w:ind w:firstLine="640"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p>
    <w:p>
      <w:pPr>
        <w:pStyle w:val="2"/>
        <w:ind w:firstLine="640" w:firstLineChars="200"/>
        <w:jc w:val="center"/>
        <w:rPr>
          <w:rFonts w:hint="default"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32"/>
          <w:lang w:val="en-US" w:eastAsia="zh-CN"/>
          <w14:textFill>
            <w14:solidFill>
              <w14:schemeClr w14:val="tx1"/>
            </w14:solidFill>
          </w14:textFill>
        </w:rPr>
        <w:t>大数据产业</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大数据产业</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大力推进数字产业化、产业数字化，已入驻百度、阿里巴巴、科大讯飞、华为云、爱奇艺、携程网、同程旅行等434家企业。下一步将提档升级服务外包产业，加速推动呼叫中心向</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智能客服</w:t>
      </w:r>
      <w:r>
        <w:rPr>
          <w:rFonts w:hint="eastAsia" w:ascii="方正仿宋_GBK" w:hAnsi="方正仿宋_GBK" w:eastAsia="方正仿宋_GBK" w:cs="方正仿宋_GBK"/>
          <w:color w:val="000000" w:themeColor="text1"/>
          <w:sz w:val="32"/>
          <w:szCs w:val="32"/>
          <w14:textFill>
            <w14:solidFill>
              <w14:schemeClr w14:val="tx1"/>
            </w14:solidFill>
          </w14:textFill>
        </w:rPr>
        <w:t>”、“数据审核”转型。提速壮大数字文创、</w:t>
      </w:r>
      <w:r>
        <w:rPr>
          <w:rFonts w:hint="default" w:ascii="Times New Roman" w:hAnsi="Times New Roman" w:eastAsia="方正仿宋_GBK" w:cs="Times New Roman"/>
          <w:color w:val="000000" w:themeColor="text1"/>
          <w:sz w:val="32"/>
          <w:szCs w:val="32"/>
          <w14:textFill>
            <w14:solidFill>
              <w14:schemeClr w14:val="tx1"/>
            </w14:solidFill>
          </w14:textFill>
        </w:rPr>
        <w:t>人工智能及物联网、自动驾驶、云计算、新型电商等重点产业，加速</w:t>
      </w:r>
      <w:r>
        <w:rPr>
          <w:rFonts w:hint="eastAsia" w:ascii="方正仿宋_GBK" w:hAnsi="方正仿宋_GBK" w:eastAsia="方正仿宋_GBK" w:cs="方正仿宋_GBK"/>
          <w:color w:val="000000" w:themeColor="text1"/>
          <w:sz w:val="32"/>
          <w:szCs w:val="32"/>
          <w14:textFill>
            <w14:solidFill>
              <w14:schemeClr w14:val="tx1"/>
            </w14:solidFill>
          </w14:textFill>
        </w:rPr>
        <w:t>布局“元宇宙”产业，</w:t>
      </w:r>
      <w:r>
        <w:rPr>
          <w:rFonts w:hint="default" w:ascii="Times New Roman" w:hAnsi="Times New Roman" w:eastAsia="方正仿宋_GBK" w:cs="Times New Roman"/>
          <w:color w:val="000000" w:themeColor="text1"/>
          <w:sz w:val="32"/>
          <w:szCs w:val="32"/>
          <w14:textFill>
            <w14:solidFill>
              <w14:schemeClr w14:val="tx1"/>
            </w14:solidFill>
          </w14:textFill>
        </w:rPr>
        <w:t>不断提升数字经济规模效益，加快打造西部数字产业基地。</w:t>
      </w:r>
    </w:p>
    <w:p>
      <w:pPr>
        <w:pStyle w:val="2"/>
        <w:numPr>
          <w:ilvl w:val="0"/>
          <w:numId w:val="0"/>
        </w:numPr>
        <w:rPr>
          <w:rFonts w:hint="default"/>
          <w:color w:val="000000" w:themeColor="text1"/>
          <w:lang w:val="en-US" w:eastAsia="zh-CN"/>
          <w14:textFill>
            <w14:solidFill>
              <w14:schemeClr w14:val="tx1"/>
            </w14:solidFill>
          </w14:textFill>
        </w:rPr>
      </w:pPr>
    </w:p>
    <w:p>
      <w:pP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br w:type="page"/>
      </w:r>
    </w:p>
    <w:p>
      <w:pPr>
        <w:pStyle w:val="5"/>
        <w:pageBreakBefore w:val="0"/>
        <w:kinsoku/>
        <w:wordWrap/>
        <w:overflowPunct/>
        <w:topLinePunct w:val="0"/>
        <w:autoSpaceDE/>
        <w:autoSpaceDN/>
        <w:bidi w:val="0"/>
        <w:adjustRightInd/>
        <w:spacing w:line="276" w:lineRule="auto"/>
        <w:jc w:val="both"/>
        <w:textAlignment w:val="auto"/>
        <w:rPr>
          <w:rFonts w:hint="default" w:ascii="Times New Roman" w:hAnsi="Times New Roman" w:cs="Times New Roman"/>
          <w:color w:val="000000" w:themeColor="text1"/>
          <w14:textFill>
            <w14:solidFill>
              <w14:schemeClr w14:val="tx1"/>
            </w14:solidFill>
          </w14:textFill>
        </w:rPr>
      </w:pPr>
    </w:p>
    <w:p>
      <w:pPr>
        <w:pStyle w:val="5"/>
        <w:pageBreakBefore w:val="0"/>
        <w:kinsoku/>
        <w:wordWrap/>
        <w:overflowPunct/>
        <w:topLinePunct w:val="0"/>
        <w:autoSpaceDE/>
        <w:autoSpaceDN/>
        <w:bidi w:val="0"/>
        <w:adjustRightInd/>
        <w:spacing w:line="276" w:lineRule="auto"/>
        <w:jc w:val="center"/>
        <w:textAlignment w:val="auto"/>
        <w:rPr>
          <w:rFonts w:hint="eastAsia" w:ascii="方正黑体_GBK" w:hAnsi="方正黑体_GBK" w:eastAsia="方正黑体_GBK" w:cs="方正黑体_GBK"/>
          <w:b w:val="0"/>
          <w:bCs/>
          <w:color w:val="000000" w:themeColor="text1"/>
          <w14:textFill>
            <w14:solidFill>
              <w14:schemeClr w14:val="tx1"/>
            </w14:solidFill>
          </w14:textFill>
        </w:rPr>
      </w:pPr>
      <w:r>
        <w:rPr>
          <w:rFonts w:hint="eastAsia" w:ascii="方正黑体_GBK" w:hAnsi="方正黑体_GBK" w:eastAsia="方正黑体_GBK" w:cs="方正黑体_GBK"/>
          <w:b w:val="0"/>
          <w:bCs/>
          <w:color w:val="000000" w:themeColor="text1"/>
          <w14:textFill>
            <w14:solidFill>
              <w14:schemeClr w14:val="tx1"/>
            </w14:solidFill>
          </w14:textFill>
        </w:rPr>
        <w:t>投资服务</w:t>
      </w:r>
    </w:p>
    <w:p>
      <w:pPr>
        <w:pStyle w:val="5"/>
        <w:pageBreakBefore w:val="0"/>
        <w:kinsoku/>
        <w:wordWrap/>
        <w:overflowPunct/>
        <w:topLinePunct w:val="0"/>
        <w:autoSpaceDE/>
        <w:autoSpaceDN/>
        <w:bidi w:val="0"/>
        <w:adjustRightInd/>
        <w:spacing w:line="276" w:lineRule="auto"/>
        <w:jc w:val="center"/>
        <w:textAlignment w:val="auto"/>
        <w:rPr>
          <w:rFonts w:hint="default" w:ascii="Times New Roman" w:hAnsi="Times New Roman" w:eastAsia="方正黑体_GBK" w:cs="Times New Roman"/>
          <w:b w:val="0"/>
          <w:bCs/>
          <w:color w:val="000000" w:themeColor="text1"/>
          <w14:textFill>
            <w14:solidFill>
              <w14:schemeClr w14:val="tx1"/>
            </w14:solidFill>
          </w14:textFill>
        </w:rPr>
      </w:pPr>
      <w:r>
        <w:rPr>
          <w:rFonts w:hint="default" w:ascii="Times New Roman" w:hAnsi="Times New Roman" w:eastAsia="方正黑体_GBK" w:cs="Times New Roman"/>
          <w:b w:val="0"/>
          <w:bCs/>
          <w:color w:val="000000" w:themeColor="text1"/>
          <w14:textFill>
            <w14:solidFill>
              <w14:schemeClr w14:val="tx1"/>
            </w14:solidFill>
          </w14:textFill>
        </w:rPr>
        <w:t>Investment Service</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政策扶持</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出台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“创新驱动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276" w:lineRule="auto"/>
        <w:ind w:firstLine="1280" w:firstLineChars="4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制造业高质量发展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条”</w:t>
      </w:r>
    </w:p>
    <w:p>
      <w:pPr>
        <w:pageBreakBefore w:val="0"/>
        <w:numPr>
          <w:ilvl w:val="0"/>
          <w:numId w:val="0"/>
        </w:numPr>
        <w:kinsoku/>
        <w:wordWrap/>
        <w:overflowPunct/>
        <w:topLinePunct w:val="0"/>
        <w:autoSpaceDE/>
        <w:autoSpaceDN/>
        <w:bidi w:val="0"/>
        <w:adjustRightInd/>
        <w:spacing w:line="276" w:lineRule="auto"/>
        <w:ind w:firstLine="1280" w:firstLineChars="4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“扶持企业上市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条”</w:t>
      </w:r>
    </w:p>
    <w:p>
      <w:pPr>
        <w:pageBreakBefore w:val="0"/>
        <w:numPr>
          <w:ilvl w:val="0"/>
          <w:numId w:val="0"/>
        </w:numPr>
        <w:kinsoku/>
        <w:wordWrap/>
        <w:overflowPunct/>
        <w:topLinePunct w:val="0"/>
        <w:autoSpaceDE/>
        <w:autoSpaceDN/>
        <w:bidi w:val="0"/>
        <w:adjustRightInd/>
        <w:spacing w:line="276" w:lineRule="auto"/>
        <w:ind w:firstLine="1280" w:firstLineChars="4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“大数据发展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条”</w:t>
      </w:r>
    </w:p>
    <w:p>
      <w:pPr>
        <w:pageBreakBefore w:val="0"/>
        <w:numPr>
          <w:ilvl w:val="0"/>
          <w:numId w:val="0"/>
        </w:numPr>
        <w:kinsoku/>
        <w:wordWrap/>
        <w:overflowPunct/>
        <w:topLinePunct w:val="0"/>
        <w:autoSpaceDE/>
        <w:autoSpaceDN/>
        <w:bidi w:val="0"/>
        <w:adjustRightInd/>
        <w:spacing w:line="276" w:lineRule="auto"/>
        <w:ind w:firstLine="1280" w:firstLineChars="400"/>
        <w:textAlignment w:val="auto"/>
        <w:rPr>
          <w:rFonts w:hint="eastAsia" w:ascii="方正仿宋_GBK" w:hAnsi="方正仿宋_GBK" w:eastAsia="方正仿宋_GBK" w:cs="方正仿宋_GBK"/>
          <w:color w:val="000000" w:themeColor="text1"/>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加快建设现代职教高地激励政策</w:t>
      </w:r>
      <w:r>
        <w:rPr>
          <w:rFonts w:hint="default" w:ascii="Times New Roman" w:hAnsi="Times New Roman" w:eastAsia="方正仿宋_GBK" w:cs="Times New Roman"/>
          <w:color w:val="000000" w:themeColor="text1"/>
          <w:sz w:val="32"/>
          <w:szCs w:val="32"/>
          <w14:textFill>
            <w14:solidFill>
              <w14:schemeClr w14:val="tx1"/>
            </w14:solidFill>
          </w14:textFill>
        </w:rPr>
        <w:t>24</w:t>
      </w:r>
      <w:r>
        <w:rPr>
          <w:rFonts w:hint="eastAsia" w:ascii="方正仿宋_GBK" w:hAnsi="方正仿宋_GBK" w:eastAsia="方正仿宋_GBK" w:cs="方正仿宋_GBK"/>
          <w:color w:val="000000" w:themeColor="text1"/>
          <w:sz w:val="32"/>
          <w:szCs w:val="32"/>
          <w14:textFill>
            <w14:solidFill>
              <w14:schemeClr w14:val="tx1"/>
            </w14:solidFill>
          </w14:textFill>
        </w:rPr>
        <w:t>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西部大开发政策</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：15%的税率征收企业所得税；</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产业基金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政策：根据税收产值贡献，</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配套产业基金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要素优惠政策：标准厂房、员工公寓等；</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对科技含量高、产业带动性强、市场前景好、财税贡献大的项目，实行</w:t>
      </w:r>
      <w:r>
        <w:rPr>
          <w:rFonts w:hint="eastAsia" w:ascii="方正仿宋_GBK" w:hAnsi="方正仿宋_GBK" w:eastAsia="方正仿宋_GBK" w:cs="方正仿宋_GBK"/>
          <w:color w:val="000000" w:themeColor="text1"/>
          <w:sz w:val="32"/>
          <w:szCs w:val="32"/>
          <w14:textFill>
            <w14:solidFill>
              <w14:schemeClr w14:val="tx1"/>
            </w14:solidFill>
          </w14:textFill>
        </w:rPr>
        <w:t>“一事一议”</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保</w:t>
      </w:r>
      <w:r>
        <w:rPr>
          <w:rFonts w:hint="eastAsia" w:ascii="Times New Roman" w:hAnsi="Times New Roman" w:eastAsia="方正仿宋_GBK" w:cs="Times New Roman"/>
          <w:b/>
          <w:bCs/>
          <w:color w:val="000000" w:themeColor="text1"/>
          <w:sz w:val="32"/>
          <w:szCs w:val="32"/>
          <w:lang w:eastAsia="zh-CN"/>
          <w14:textFill>
            <w14:solidFill>
              <w14:schemeClr w14:val="tx1"/>
            </w14:solidFill>
          </w14:textFill>
        </w:rPr>
        <w:t>障</w:t>
      </w:r>
      <w:r>
        <w:rPr>
          <w:rFonts w:hint="default" w:ascii="Times New Roman" w:hAnsi="Times New Roman" w:eastAsia="方正仿宋_GBK" w:cs="Times New Roman"/>
          <w:b/>
          <w:bCs/>
          <w:color w:val="000000" w:themeColor="text1"/>
          <w:sz w:val="32"/>
          <w:szCs w:val="32"/>
          <w14:textFill>
            <w14:solidFill>
              <w14:schemeClr w14:val="tx1"/>
            </w14:solidFill>
          </w14:textFill>
        </w:rPr>
        <w:t>措施</w:t>
      </w:r>
    </w:p>
    <w:p>
      <w:pPr>
        <w:pageBreakBefore w:val="0"/>
        <w:numPr>
          <w:ilvl w:val="0"/>
          <w:numId w:val="0"/>
        </w:numPr>
        <w:kinsoku/>
        <w:wordWrap/>
        <w:overflowPunct/>
        <w:topLinePunct w:val="0"/>
        <w:autoSpaceDE/>
        <w:autoSpaceDN/>
        <w:bidi w:val="0"/>
        <w:adjustRightInd/>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建立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民营经济促进委员会</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“经济110”</w:t>
      </w:r>
      <w:r>
        <w:rPr>
          <w:rFonts w:hint="default" w:ascii="Times New Roman" w:hAnsi="Times New Roman" w:eastAsia="方正仿宋_GBK" w:cs="Times New Roman"/>
          <w:color w:val="000000" w:themeColor="text1"/>
          <w:sz w:val="32"/>
          <w:szCs w:val="32"/>
          <w14:textFill>
            <w14:solidFill>
              <w14:schemeClr w14:val="tx1"/>
            </w14:solidFill>
          </w14:textFill>
        </w:rPr>
        <w:t>举报制、信用档案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签约项目开工倒逼责任制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减项目、减环节、减材料，细化量化标准，再造审批流程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推行</w:t>
      </w:r>
      <w:r>
        <w:rPr>
          <w:rFonts w:hint="eastAsia" w:ascii="方正仿宋_GBK" w:hAnsi="方正仿宋_GBK" w:eastAsia="方正仿宋_GBK" w:cs="方正仿宋_GBK"/>
          <w:color w:val="000000" w:themeColor="text1"/>
          <w:sz w:val="32"/>
          <w:szCs w:val="32"/>
          <w14:textFill>
            <w14:solidFill>
              <w14:schemeClr w14:val="tx1"/>
            </w14:solidFill>
          </w14:textFill>
        </w:rPr>
        <w:t>“一窗受理，集成服务</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工业项目从签约到开工100天，一般社会投资项目审批时间压减至50个工作日</w:t>
      </w:r>
      <w:r>
        <w:rPr>
          <w:rFonts w:hint="default" w:ascii="Times New Roman" w:hAnsi="Times New Roman" w:eastAsia="方正仿宋_GBK" w:cs="Times New Roman"/>
          <w:color w:val="000000" w:themeColor="text1"/>
          <w:sz w:val="32"/>
          <w:szCs w:val="32"/>
          <w14:textFill>
            <w14:solidFill>
              <w14:schemeClr w14:val="tx1"/>
            </w14:solidFill>
          </w14:textFill>
        </w:rPr>
        <w:t>等制度，形成了法制健全、制度公开、政策透明、办事高效的保障体系。</w:t>
      </w:r>
    </w:p>
    <w:p>
      <w:pPr>
        <w:pageBreakBefore w:val="0"/>
        <w:numPr>
          <w:ilvl w:val="0"/>
          <w:numId w:val="0"/>
        </w:numPr>
        <w:kinsoku/>
        <w:wordWrap/>
        <w:overflowPunct/>
        <w:topLinePunct w:val="0"/>
        <w:autoSpaceDE/>
        <w:autoSpaceDN/>
        <w:bidi w:val="0"/>
        <w:adjustRightInd/>
        <w:spacing w:line="276" w:lineRule="auto"/>
        <w:ind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服务体系</w:t>
      </w:r>
    </w:p>
    <w:p>
      <w:pPr>
        <w:pageBreakBefore w:val="0"/>
        <w:kinsoku/>
        <w:wordWrap/>
        <w:overflowPunct/>
        <w:topLinePunct w:val="0"/>
        <w:autoSpaceDE/>
        <w:autoSpaceDN/>
        <w:bidi w:val="0"/>
        <w:adjustRightInd w:val="0"/>
        <w:snapToGrid w:val="0"/>
        <w:spacing w:line="276" w:lineRule="auto"/>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sectPr>
          <w:pgSz w:w="11906" w:h="16838"/>
          <w:pgMar w:top="1984" w:right="1446" w:bottom="1644" w:left="1446" w:header="851" w:footer="992" w:gutter="0"/>
          <w:cols w:space="425" w:num="1"/>
          <w:docGrid w:type="lines" w:linePitch="312" w:charSpace="0"/>
        </w:sectPr>
      </w:pPr>
      <w:r>
        <w:rPr>
          <w:rFonts w:hint="default" w:ascii="Times New Roman" w:hAnsi="Times New Roman" w:eastAsia="方正仿宋_GBK" w:cs="Times New Roman"/>
          <w:color w:val="000000" w:themeColor="text1"/>
          <w:sz w:val="32"/>
          <w:szCs w:val="32"/>
          <w14:textFill>
            <w14:solidFill>
              <w14:schemeClr w14:val="tx1"/>
            </w14:solidFill>
          </w14:textFill>
        </w:rPr>
        <w:t>围绕打造</w:t>
      </w:r>
      <w:r>
        <w:rPr>
          <w:rFonts w:hint="eastAsia" w:ascii="方正仿宋_GBK" w:hAnsi="方正仿宋_GBK" w:eastAsia="方正仿宋_GBK" w:cs="方正仿宋_GBK"/>
          <w:color w:val="000000" w:themeColor="text1"/>
          <w:sz w:val="32"/>
          <w:szCs w:val="32"/>
          <w14:textFill>
            <w14:solidFill>
              <w14:schemeClr w14:val="tx1"/>
            </w14:solidFill>
          </w14:textFill>
        </w:rPr>
        <w:t>“五星级”</w:t>
      </w:r>
      <w:r>
        <w:rPr>
          <w:rFonts w:hint="default" w:ascii="Times New Roman" w:hAnsi="Times New Roman" w:eastAsia="方正仿宋_GBK" w:cs="Times New Roman"/>
          <w:color w:val="000000" w:themeColor="text1"/>
          <w:sz w:val="32"/>
          <w:szCs w:val="32"/>
          <w14:textFill>
            <w14:solidFill>
              <w14:schemeClr w14:val="tx1"/>
            </w14:solidFill>
          </w14:textFill>
        </w:rPr>
        <w:t>服务目标，推行统一收件、联合办理、一次办结的</w:t>
      </w:r>
      <w:r>
        <w:rPr>
          <w:rFonts w:hint="eastAsia" w:ascii="方正仿宋_GBK" w:hAnsi="方正仿宋_GBK" w:eastAsia="方正仿宋_GBK" w:cs="方正仿宋_GBK"/>
          <w:color w:val="000000" w:themeColor="text1"/>
          <w:sz w:val="32"/>
          <w:szCs w:val="32"/>
          <w14:textFill>
            <w14:solidFill>
              <w14:schemeClr w14:val="tx1"/>
            </w14:solidFill>
          </w14:textFill>
        </w:rPr>
        <w:t>“一站式”</w:t>
      </w:r>
      <w:r>
        <w:rPr>
          <w:rFonts w:hint="default" w:ascii="Times New Roman" w:hAnsi="Times New Roman" w:eastAsia="方正仿宋_GBK" w:cs="Times New Roman"/>
          <w:color w:val="000000" w:themeColor="text1"/>
          <w:sz w:val="32"/>
          <w:szCs w:val="32"/>
          <w14:textFill>
            <w14:solidFill>
              <w14:schemeClr w14:val="tx1"/>
            </w14:solidFill>
          </w14:textFill>
        </w:rPr>
        <w:t>审批、现场办公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“项目全程代办+项目秘书服务”</w:t>
      </w:r>
      <w:r>
        <w:rPr>
          <w:rFonts w:hint="default" w:ascii="Times New Roman" w:hAnsi="Times New Roman" w:eastAsia="方正仿宋_GBK" w:cs="Times New Roman"/>
          <w:color w:val="000000" w:themeColor="text1"/>
          <w:sz w:val="32"/>
          <w:szCs w:val="32"/>
          <w14:textFill>
            <w14:solidFill>
              <w14:schemeClr w14:val="tx1"/>
            </w14:solidFill>
          </w14:textFill>
        </w:rPr>
        <w:t>制度的服务承诺。实行</w:t>
      </w:r>
      <w:r>
        <w:rPr>
          <w:rFonts w:hint="eastAsia" w:ascii="方正仿宋_GBK" w:hAnsi="方正仿宋_GBK" w:eastAsia="方正仿宋_GBK" w:cs="方正仿宋_GBK"/>
          <w:color w:val="000000" w:themeColor="text1"/>
          <w:sz w:val="32"/>
          <w:szCs w:val="32"/>
          <w14:textFill>
            <w14:solidFill>
              <w14:schemeClr w14:val="tx1"/>
            </w14:solidFill>
          </w14:textFill>
        </w:rPr>
        <w:t>“园区的事在园区办”</w:t>
      </w:r>
      <w:r>
        <w:rPr>
          <w:rFonts w:hint="default" w:ascii="Times New Roman" w:hAnsi="Times New Roman" w:eastAsia="方正仿宋_GBK" w:cs="Times New Roman"/>
          <w:color w:val="000000" w:themeColor="text1"/>
          <w:sz w:val="32"/>
          <w:szCs w:val="32"/>
          <w14:textFill>
            <w14:solidFill>
              <w14:schemeClr w14:val="tx1"/>
            </w14:solidFill>
          </w14:textFill>
        </w:rPr>
        <w:t>，重大项目实行</w:t>
      </w:r>
      <w:r>
        <w:rPr>
          <w:rFonts w:hint="eastAsia" w:ascii="方正仿宋_GBK" w:hAnsi="方正仿宋_GBK" w:eastAsia="方正仿宋_GBK" w:cs="方正仿宋_GBK"/>
          <w:color w:val="000000" w:themeColor="text1"/>
          <w:sz w:val="32"/>
          <w:szCs w:val="32"/>
          <w14:textFill>
            <w14:solidFill>
              <w14:schemeClr w14:val="tx1"/>
            </w14:solidFill>
          </w14:textFill>
        </w:rPr>
        <w:t>“一对一”</w:t>
      </w:r>
      <w:r>
        <w:rPr>
          <w:rFonts w:hint="default" w:ascii="Times New Roman" w:hAnsi="Times New Roman" w:eastAsia="方正仿宋_GBK" w:cs="Times New Roman"/>
          <w:color w:val="000000" w:themeColor="text1"/>
          <w:sz w:val="32"/>
          <w:szCs w:val="32"/>
          <w14:textFill>
            <w14:solidFill>
              <w14:schemeClr w14:val="tx1"/>
            </w14:solidFill>
          </w14:textFill>
        </w:rPr>
        <w:t>现场办公。</w:t>
      </w:r>
    </w:p>
    <w:p>
      <w:pPr>
        <w:pStyle w:val="5"/>
        <w:pageBreakBefore w:val="0"/>
        <w:kinsoku/>
        <w:wordWrap/>
        <w:overflowPunct/>
        <w:topLinePunct w:val="0"/>
        <w:autoSpaceDE/>
        <w:autoSpaceDN/>
        <w:bidi w:val="0"/>
        <w:adjustRightInd/>
        <w:spacing w:line="594" w:lineRule="exact"/>
        <w:jc w:val="center"/>
        <w:textAlignment w:val="auto"/>
        <w:rPr>
          <w:rFonts w:hint="eastAsia" w:ascii="方正黑体_GBK" w:hAnsi="方正黑体_GBK" w:eastAsia="方正黑体_GBK" w:cs="方正黑体_GBK"/>
          <w:b w:val="0"/>
          <w:bCs/>
          <w:color w:val="000000" w:themeColor="text1"/>
          <w14:textFill>
            <w14:solidFill>
              <w14:schemeClr w14:val="tx1"/>
            </w14:solidFill>
          </w14:textFill>
        </w:rPr>
      </w:pPr>
      <w:r>
        <w:rPr>
          <w:rFonts w:hint="eastAsia" w:ascii="方正黑体_GBK" w:hAnsi="方正黑体_GBK" w:eastAsia="方正黑体_GBK" w:cs="方正黑体_GBK"/>
          <w:b w:val="0"/>
          <w:bCs/>
          <w:color w:val="000000" w:themeColor="text1"/>
          <w14:textFill>
            <w14:solidFill>
              <w14:schemeClr w14:val="tx1"/>
            </w14:solidFill>
          </w14:textFill>
        </w:rPr>
        <w:t>要素价格一览表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b w:val="0"/>
          <w:bCs w:val="0"/>
          <w:color w:val="000000" w:themeColor="text1"/>
          <w:sz w:val="24"/>
          <w:szCs w:val="28"/>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4"/>
          <w:szCs w:val="28"/>
          <w:lang w:val="en-US" w:eastAsia="zh-CN"/>
          <w14:textFill>
            <w14:solidFill>
              <w14:schemeClr w14:val="tx1"/>
            </w14:solidFill>
          </w14:textFill>
        </w:rPr>
        <w:t>人力资源</w:t>
      </w: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auto"/>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·当地最低工资</w:t>
      </w: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auto"/>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pPr>
      <w:r>
        <w:rPr>
          <w:rFonts w:hint="eastAsia" w:ascii="Times New Roman" w:hAnsi="Times New Roman" w:eastAsia="方正仿宋_GBK" w:cs="Times New Roman"/>
          <w:color w:val="000000" w:themeColor="text1"/>
          <w:sz w:val="24"/>
          <w:szCs w:val="28"/>
          <w:lang w:val="en-US" w:eastAsia="zh-CN"/>
          <w14:textFill>
            <w14:solidFill>
              <w14:schemeClr w14:val="tx1"/>
            </w14:solidFill>
          </w14:textFill>
        </w:rPr>
        <w:t>2100</w:t>
      </w: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元/月</w:t>
      </w:r>
    </w:p>
    <w:p>
      <w:pPr>
        <w:pStyle w:val="2"/>
        <w:keepNext w:val="0"/>
        <w:keepLines w:val="0"/>
        <w:pageBreakBefore w:val="0"/>
        <w:widowControl w:val="0"/>
        <w:kinsoku/>
        <w:wordWrap/>
        <w:overflowPunct/>
        <w:topLinePunct w:val="0"/>
        <w:autoSpaceDE/>
        <w:autoSpaceDN/>
        <w:bidi w:val="0"/>
        <w:adjustRightInd/>
        <w:snapToGrid/>
        <w:spacing w:after="0" w:line="300" w:lineRule="exact"/>
        <w:textAlignment w:val="auto"/>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auto"/>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·社平工资</w:t>
      </w: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auto"/>
        <w:rPr>
          <w:rFonts w:hint="default" w:ascii="方正仿宋_GBK" w:hAnsi="方正仿宋_GBK" w:eastAsia="方正仿宋_GBK" w:cs="方正仿宋_GBK"/>
          <w:color w:val="000000" w:themeColor="text1"/>
          <w:sz w:val="24"/>
          <w:szCs w:val="28"/>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8"/>
          <w:lang w:val="en-US" w:eastAsia="zh-CN"/>
          <w14:textFill>
            <w14:solidFill>
              <w14:schemeClr w14:val="tx1"/>
            </w14:solidFill>
          </w14:textFill>
        </w:rPr>
        <w:t>73978</w:t>
      </w: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元/年（</w:t>
      </w:r>
      <w:r>
        <w:rPr>
          <w:rFonts w:hint="default" w:ascii="Times New Roman" w:hAnsi="Times New Roman" w:eastAsia="方正仿宋_GBK" w:cs="Times New Roman"/>
          <w:color w:val="000000" w:themeColor="text1"/>
          <w:sz w:val="24"/>
          <w:szCs w:val="28"/>
          <w:lang w:val="en-US" w:eastAsia="zh-CN"/>
          <w14:textFill>
            <w14:solidFill>
              <w14:schemeClr w14:val="tx1"/>
            </w14:solidFill>
          </w14:textFill>
        </w:rPr>
        <w:t>2021</w:t>
      </w: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年）</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黑体_GBK" w:hAnsi="方正黑体_GBK" w:eastAsia="方正黑体_GBK" w:cs="方正黑体_GBK"/>
          <w:b w:val="0"/>
          <w:bCs/>
          <w:color w:val="000000" w:themeColor="text1"/>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320" w:lineRule="exact"/>
        <w:textAlignment w:val="auto"/>
        <w:rPr>
          <w:rFonts w:hint="eastAsia" w:ascii="方正黑体_GBK" w:hAnsi="方正黑体_GBK" w:eastAsia="方正黑体_GBK" w:cs="方正黑体_GBK"/>
          <w:b w:val="0"/>
          <w:bCs/>
          <w:color w:val="000000" w:themeColor="text1"/>
          <w:sz w:val="24"/>
          <w:szCs w:val="24"/>
          <w:lang w:val="en-US" w:eastAsia="zh-CN"/>
          <w14:textFill>
            <w14:solidFill>
              <w14:schemeClr w14:val="tx1"/>
            </w14:solidFill>
          </w14:textFill>
        </w:rPr>
      </w:pPr>
      <w:r>
        <w:rPr>
          <w:rFonts w:hint="eastAsia" w:ascii="方正黑体_GBK" w:hAnsi="方正黑体_GBK" w:eastAsia="方正黑体_GBK" w:cs="方正黑体_GBK"/>
          <w:b w:val="0"/>
          <w:bCs/>
          <w:color w:val="000000" w:themeColor="text1"/>
          <w:sz w:val="24"/>
          <w:szCs w:val="24"/>
          <w:lang w:val="en-US" w:eastAsia="zh-CN"/>
          <w14:textFill>
            <w14:solidFill>
              <w14:schemeClr w14:val="tx1"/>
            </w14:solidFill>
          </w14:textFill>
        </w:rPr>
        <w:t>·</w:t>
      </w:r>
      <w:r>
        <w:rPr>
          <w:rFonts w:hint="eastAsia" w:ascii="方正仿宋_GBK" w:hAnsi="方正仿宋_GBK" w:eastAsia="方正仿宋_GBK" w:cs="方正仿宋_GBK"/>
          <w:b w:val="0"/>
          <w:bCs/>
          <w:color w:val="000000" w:themeColor="text1"/>
          <w:sz w:val="24"/>
          <w:szCs w:val="24"/>
          <w:lang w:val="en-US" w:eastAsia="zh-CN"/>
          <w14:textFill>
            <w14:solidFill>
              <w14:schemeClr w14:val="tx1"/>
            </w14:solidFill>
          </w14:textFill>
        </w:rPr>
        <w:t>社保标准</w:t>
      </w:r>
      <w:r>
        <w:rPr>
          <w:rFonts w:hint="eastAsia" w:ascii="方正黑体_GBK" w:hAnsi="方正黑体_GBK" w:eastAsia="方正黑体_GBK" w:cs="方正黑体_GBK"/>
          <w:b w:val="0"/>
          <w:bCs/>
          <w:color w:val="000000" w:themeColor="text1"/>
          <w:sz w:val="24"/>
          <w:szCs w:val="24"/>
          <w:lang w:val="en-US" w:eastAsia="zh-CN"/>
          <w14:textFill>
            <w14:solidFill>
              <w14:schemeClr w14:val="tx1"/>
            </w14:solidFill>
          </w14:textFill>
        </w:rPr>
        <w:t>（2021</w:t>
      </w:r>
      <w:r>
        <w:rPr>
          <w:rFonts w:hint="eastAsia" w:ascii="方正仿宋_GBK" w:hAnsi="方正仿宋_GBK" w:eastAsia="方正仿宋_GBK" w:cs="方正仿宋_GBK"/>
          <w:b w:val="0"/>
          <w:bCs/>
          <w:color w:val="000000" w:themeColor="text1"/>
          <w:sz w:val="24"/>
          <w:szCs w:val="24"/>
          <w:lang w:val="en-US" w:eastAsia="zh-CN"/>
          <w14:textFill>
            <w14:solidFill>
              <w14:schemeClr w14:val="tx1"/>
            </w14:solidFill>
          </w14:textFill>
        </w:rPr>
        <w:t>年</w:t>
      </w:r>
      <w:r>
        <w:rPr>
          <w:rFonts w:hint="eastAsia" w:ascii="方正黑体_GBK" w:hAnsi="方正黑体_GBK" w:eastAsia="方正黑体_GBK" w:cs="方正黑体_GBK"/>
          <w:b w:val="0"/>
          <w:bCs/>
          <w:color w:val="000000" w:themeColor="text1"/>
          <w:sz w:val="24"/>
          <w:szCs w:val="24"/>
          <w:lang w:val="en-US" w:eastAsia="zh-CN"/>
          <w14:textFill>
            <w14:solidFill>
              <w14:schemeClr w14:val="tx1"/>
            </w14:solidFill>
          </w14:textFill>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20" w:lineRule="exact"/>
        <w:textAlignment w:val="auto"/>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综合缴费率</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27.1</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%（养老保险</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%、医疗保险</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8.5</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%、失业保险</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0.5</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%、工伤保险</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0.6</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%、大病医疗保险</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320" w:lineRule="exact"/>
        <w:textAlignment w:val="auto"/>
        <w:rPr>
          <w:rFonts w:hint="default" w:ascii="方正仿宋_GBK" w:hAnsi="方正仿宋_GBK" w:eastAsia="方正仿宋_GBK" w:cs="方正仿宋_GBK"/>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单位最低缴费基数</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3699</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元/月。</w:t>
      </w:r>
    </w:p>
    <w:p>
      <w:pPr>
        <w:pStyle w:val="2"/>
        <w:rPr>
          <w:rFonts w:hint="eastAsia" w:ascii="方正黑体_GBK" w:hAnsi="方正黑体_GBK" w:eastAsia="方正黑体_GBK" w:cs="方正黑体_GBK"/>
          <w:b w:val="0"/>
          <w:bCs/>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 w:val="0"/>
          <w:bCs/>
          <w:color w:val="000000" w:themeColor="text1"/>
          <w:sz w:val="24"/>
          <w:szCs w:val="24"/>
          <w:lang w:val="en-US" w:eastAsia="zh-CN"/>
          <w14:textFill>
            <w14:solidFill>
              <w14:schemeClr w14:val="tx1"/>
            </w14:solidFill>
          </w14:textFill>
        </w:rPr>
      </w:pPr>
      <w:r>
        <w:rPr>
          <w:rFonts w:hint="eastAsia" w:ascii="方正仿宋_GBK" w:hAnsi="方正仿宋_GBK" w:eastAsia="方正仿宋_GBK" w:cs="方正仿宋_GBK"/>
          <w:b w:val="0"/>
          <w:bCs/>
          <w:color w:val="000000" w:themeColor="text1"/>
          <w:sz w:val="24"/>
          <w:szCs w:val="24"/>
          <w:lang w:val="en-US" w:eastAsia="zh-CN"/>
          <w14:textFill>
            <w14:solidFill>
              <w14:schemeClr w14:val="tx1"/>
            </w14:solidFill>
          </w14:textFill>
        </w:rPr>
        <w:t>税收</w:t>
      </w:r>
    </w:p>
    <w:tbl>
      <w:tblPr>
        <w:tblStyle w:val="8"/>
        <w:tblW w:w="10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525"/>
        <w:gridCol w:w="1412"/>
        <w:gridCol w:w="1388"/>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234" w:type="dxa"/>
            <w:vMerge w:val="restart"/>
            <w:vAlign w:val="center"/>
          </w:tcPr>
          <w:p>
            <w:pPr>
              <w:pageBreakBefore w:val="0"/>
              <w:widowControl/>
              <w:kinsoku/>
              <w:wordWrap/>
              <w:overflowPunct/>
              <w:topLinePunct w:val="0"/>
              <w:autoSpaceDE/>
              <w:autoSpaceDN/>
              <w:bidi w:val="0"/>
              <w:adjustRightInd/>
              <w:spacing w:line="594" w:lineRule="exact"/>
              <w:ind w:firstLine="321" w:firstLineChars="100"/>
              <w:jc w:val="both"/>
              <w:textAlignment w:val="auto"/>
              <w:rPr>
                <w:rFonts w:hint="default" w:ascii="Times New Roman" w:hAnsi="Times New Roman" w:eastAsia="方正仿宋_GBK" w:cs="Times New Roman"/>
                <w:b/>
                <w:bCs/>
                <w:color w:val="000000" w:themeColor="text1"/>
                <w:kern w:val="0"/>
                <w:sz w:val="20"/>
                <w:szCs w:val="21"/>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6"/>
                <w:lang w:val="en-US" w:eastAsia="zh-CN"/>
                <w14:textFill>
                  <w14:solidFill>
                    <w14:schemeClr w14:val="tx1"/>
                  </w14:solidFill>
                </w14:textFill>
              </w:rPr>
              <w:t>税    总</w:t>
            </w:r>
          </w:p>
        </w:tc>
        <w:tc>
          <w:tcPr>
            <w:tcW w:w="4325" w:type="dxa"/>
            <w:gridSpan w:val="3"/>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32"/>
                <w:szCs w:val="32"/>
                <w:lang w:val="en-US" w:eastAsia="zh-CN"/>
                <w14:textFill>
                  <w14:solidFill>
                    <w14:schemeClr w14:val="tx1"/>
                  </w14:solidFill>
                </w14:textFill>
              </w:rPr>
              <w:t>留存比例</w:t>
            </w:r>
          </w:p>
        </w:tc>
        <w:tc>
          <w:tcPr>
            <w:tcW w:w="3462" w:type="dxa"/>
            <w:vMerge w:val="restart"/>
            <w:vAlign w:val="center"/>
          </w:tcPr>
          <w:p>
            <w:pPr>
              <w:pageBreakBefore w:val="0"/>
              <w:widowControl/>
              <w:kinsoku/>
              <w:wordWrap/>
              <w:overflowPunct/>
              <w:topLinePunct w:val="0"/>
              <w:autoSpaceDE/>
              <w:autoSpaceDN/>
              <w:bidi w:val="0"/>
              <w:adjustRightInd/>
              <w:spacing w:line="594" w:lineRule="exact"/>
              <w:ind w:firstLine="964" w:firstLineChars="300"/>
              <w:jc w:val="both"/>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lang w:val="en-US" w:eastAsia="zh-CN"/>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234" w:type="dxa"/>
            <w:vMerge w:val="continue"/>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c>
          <w:tcPr>
            <w:tcW w:w="1525" w:type="dxa"/>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中央</w:t>
            </w:r>
          </w:p>
        </w:tc>
        <w:tc>
          <w:tcPr>
            <w:tcW w:w="1412" w:type="dxa"/>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重庆</w:t>
            </w:r>
          </w:p>
        </w:tc>
        <w:tc>
          <w:tcPr>
            <w:tcW w:w="1388"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永川</w:t>
            </w:r>
          </w:p>
        </w:tc>
        <w:tc>
          <w:tcPr>
            <w:tcW w:w="3462" w:type="dxa"/>
            <w:vMerge w:val="continue"/>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增值税</w:t>
            </w:r>
          </w:p>
        </w:tc>
        <w:tc>
          <w:tcPr>
            <w:tcW w:w="1525"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50%</w:t>
            </w:r>
          </w:p>
        </w:tc>
        <w:tc>
          <w:tcPr>
            <w:tcW w:w="141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17.5%</w:t>
            </w:r>
          </w:p>
        </w:tc>
        <w:tc>
          <w:tcPr>
            <w:tcW w:w="1388"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32.5%</w:t>
            </w:r>
          </w:p>
        </w:tc>
        <w:tc>
          <w:tcPr>
            <w:tcW w:w="346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企业所得税</w:t>
            </w:r>
          </w:p>
        </w:tc>
        <w:tc>
          <w:tcPr>
            <w:tcW w:w="1525"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60%</w:t>
            </w:r>
          </w:p>
        </w:tc>
        <w:tc>
          <w:tcPr>
            <w:tcW w:w="141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w:t>
            </w:r>
          </w:p>
        </w:tc>
        <w:tc>
          <w:tcPr>
            <w:tcW w:w="1388"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40%</w:t>
            </w:r>
          </w:p>
        </w:tc>
        <w:tc>
          <w:tcPr>
            <w:tcW w:w="346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西部大开发鼓励类项目税率15%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4" w:type="dxa"/>
            <w:vAlign w:val="center"/>
          </w:tcPr>
          <w:p>
            <w:pPr>
              <w:pageBreakBefore w:val="0"/>
              <w:widowControl/>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个人所得税</w:t>
            </w:r>
          </w:p>
        </w:tc>
        <w:tc>
          <w:tcPr>
            <w:tcW w:w="1525"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60%</w:t>
            </w:r>
          </w:p>
        </w:tc>
        <w:tc>
          <w:tcPr>
            <w:tcW w:w="141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16%</w:t>
            </w:r>
          </w:p>
        </w:tc>
        <w:tc>
          <w:tcPr>
            <w:tcW w:w="1388"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24%</w:t>
            </w:r>
          </w:p>
        </w:tc>
        <w:tc>
          <w:tcPr>
            <w:tcW w:w="3462" w:type="dxa"/>
            <w:vAlign w:val="center"/>
          </w:tcPr>
          <w:p>
            <w:pPr>
              <w:pageBreakBefore w:val="0"/>
              <w:widowControl/>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r>
    </w:tbl>
    <w:p>
      <w:pPr>
        <w:pageBreakBefore w:val="0"/>
        <w:kinsoku/>
        <w:wordWrap/>
        <w:overflowPunct/>
        <w:topLinePunct w:val="0"/>
        <w:autoSpaceDE/>
        <w:autoSpaceDN/>
        <w:bidi w:val="0"/>
        <w:adjustRightInd/>
        <w:spacing w:line="594" w:lineRule="exact"/>
        <w:textAlignment w:val="auto"/>
        <w:rPr>
          <w:rFonts w:hint="default" w:ascii="方正仿宋_GBK" w:hAnsi="方正仿宋_GBK" w:eastAsia="方正仿宋_GBK" w:cs="方正仿宋_GBK"/>
          <w:color w:val="000000" w:themeColor="text1"/>
          <w:sz w:val="24"/>
          <w:szCs w:val="28"/>
          <w14:textFill>
            <w14:solidFill>
              <w14:schemeClr w14:val="tx1"/>
            </w14:solidFill>
          </w14:textFill>
        </w:rPr>
      </w:pPr>
      <w:bookmarkStart w:id="3" w:name="OLE_LINK2"/>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方正仿宋_GBK" w:hAnsi="方正仿宋_GBK" w:eastAsia="方正仿宋_GBK" w:cs="方正仿宋_GBK"/>
          <w:color w:val="000000" w:themeColor="text1"/>
          <w:sz w:val="24"/>
          <w:szCs w:val="28"/>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4948555</wp:posOffset>
                </wp:positionH>
                <wp:positionV relativeFrom="paragraph">
                  <wp:posOffset>144145</wp:posOffset>
                </wp:positionV>
                <wp:extent cx="2419350" cy="3600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1935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default" w:ascii="方正仿宋_GBK" w:hAnsi="方正仿宋_GBK" w:eastAsia="方正仿宋_GBK" w:cs="方正仿宋_GBK"/>
                                <w:color w:val="000000" w:themeColor="text1"/>
                                <w:sz w:val="24"/>
                                <w:szCs w:val="28"/>
                                <w14:textFill>
                                  <w14:solidFill>
                                    <w14:schemeClr w14:val="tx1"/>
                                  </w14:solidFill>
                                </w14:textFill>
                              </w:rPr>
                              <w:t>计价单位：元/KWH</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65pt;margin-top:11.35pt;height:28.35pt;width:190.5pt;z-index:251660288;mso-width-relative:page;mso-height-relative:page;" filled="f" stroked="f" coordsize="21600,21600" o:gfxdata="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KBI2wAAAAoBAAAPAAAAAAAAAAEAIAAAACIAAABkcnMv&#10;ZG93bnJldi54bWxQSwECFAAUAAAACACHTuJAWqLHrTkCAABmBAAADgAAAAAAAAABACAAAAAqAQAA&#10;ZHJzL2Uyb0RvYy54bWxQSwUGAAAAAAYABgBZAQAA1QUAAAAA&#10;">
                <v:fill on="f" focussize="0,0"/>
                <v:stroke on="f" weight="0.5pt"/>
                <v:imagedata o:title=""/>
                <o:lock v:ext="edit" aspectratio="f"/>
                <v:textbox>
                  <w:txbxContent>
                    <w:p>
                      <w:pPr>
                        <w:rPr>
                          <w:rFonts w:hint="eastAsia"/>
                          <w:lang w:val="en-US" w:eastAsia="zh-CN"/>
                        </w:rPr>
                      </w:pPr>
                      <w:r>
                        <w:rPr>
                          <w:rFonts w:hint="default" w:ascii="方正仿宋_GBK" w:hAnsi="方正仿宋_GBK" w:eastAsia="方正仿宋_GBK" w:cs="方正仿宋_GBK"/>
                          <w:color w:val="000000" w:themeColor="text1"/>
                          <w:sz w:val="24"/>
                          <w:szCs w:val="28"/>
                          <w14:textFill>
                            <w14:solidFill>
                              <w14:schemeClr w14:val="tx1"/>
                            </w14:solidFill>
                          </w14:textFill>
                        </w:rPr>
                        <w:t>计价单位：元/KWH</w:t>
                      </w:r>
                    </w:p>
                  </w:txbxContent>
                </v:textbox>
              </v:shape>
            </w:pict>
          </mc:Fallback>
        </mc:AlternateContent>
      </w:r>
      <w:r>
        <w:rPr>
          <w:color w:val="000000" w:themeColor="text1"/>
          <w:sz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110490</wp:posOffset>
                </wp:positionV>
                <wp:extent cx="896620" cy="360045"/>
                <wp:effectExtent l="0" t="0" r="0" b="0"/>
                <wp:wrapNone/>
                <wp:docPr id="1" name="文本框 1"/>
                <wp:cNvGraphicFramePr/>
                <a:graphic xmlns:a="http://schemas.openxmlformats.org/drawingml/2006/main">
                  <a:graphicData uri="http://schemas.microsoft.com/office/word/2010/wordprocessingShape">
                    <wps:wsp>
                      <wps:cNvSpPr txBox="1"/>
                      <wps:spPr>
                        <a:xfrm>
                          <a:off x="586105" y="7194550"/>
                          <a:ext cx="896620" cy="360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用电价格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pt;margin-top:8.7pt;height:28.35pt;width:70.6pt;z-index:251659264;mso-width-relative:page;mso-height-relative:page;" filled="f" stroked="f" coordsize="21600,21600" o:gfxdata="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VJhctoAAAAIAQAADwAAAAAAAAABACAA&#10;AAAiAAAAZHJzL2Rvd25yZXYueG1sUEsBAhQAFAAAAAgAh07iQGRdakxEAgAAcAQAAA4AAAAAAAAA&#10;AQAgAAAAKQEAAGRycy9lMm9Eb2MueG1sUEsFBgAAAAAGAAYAWQEAAN8FAAAAAA==&#10;">
                <v:fill on="f" focussize="0,0"/>
                <v:stroke on="f" weight="0.5pt"/>
                <v:imagedata o:title=""/>
                <o:lock v:ext="edit" aspectratio="f"/>
                <v:textbox>
                  <w:txbxContent>
                    <w:p>
                      <w:pP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用电价格</w:t>
                      </w:r>
                    </w:p>
                  </w:txbxContent>
                </v:textbox>
              </v:shape>
            </w:pict>
          </mc:Fallback>
        </mc:AlternateContent>
      </w:r>
      <w:r>
        <w:rPr>
          <w:rFonts w:hint="default" w:ascii="方正仿宋_GBK" w:hAnsi="方正仿宋_GBK" w:eastAsia="方正仿宋_GBK" w:cs="方正仿宋_GBK"/>
          <w:color w:val="000000" w:themeColor="text1"/>
          <w:sz w:val="24"/>
          <w:szCs w:val="28"/>
          <w14:textFill>
            <w14:solidFill>
              <w14:schemeClr w14:val="tx1"/>
            </w14:solidFill>
          </w14:textFill>
        </w:rPr>
        <w:t xml:space="preserve">                </w:t>
      </w: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 xml:space="preserve">                                   </w:t>
      </w:r>
    </w:p>
    <w:bookmarkEnd w:id="3"/>
    <w:tbl>
      <w:tblPr>
        <w:tblStyle w:val="8"/>
        <w:tblpPr w:leftFromText="180" w:rightFromText="180" w:vertAnchor="text" w:horzAnchor="page" w:tblpX="941" w:tblpY="359"/>
        <w:tblOverlap w:val="never"/>
        <w:tblW w:w="10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175"/>
        <w:gridCol w:w="1341"/>
        <w:gridCol w:w="1324"/>
        <w:gridCol w:w="1293"/>
        <w:gridCol w:w="1180"/>
        <w:gridCol w:w="150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t>用电分类</w:t>
            </w:r>
          </w:p>
        </w:tc>
        <w:tc>
          <w:tcPr>
            <w:tcW w:w="6313" w:type="dxa"/>
            <w:gridSpan w:val="5"/>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t>电度电价</w:t>
            </w:r>
          </w:p>
        </w:tc>
        <w:tc>
          <w:tcPr>
            <w:tcW w:w="3000" w:type="dxa"/>
            <w:gridSpan w:val="2"/>
          </w:tcPr>
          <w:p>
            <w:pPr>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t>基本电价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20" w:type="dxa"/>
            <w:vMerge w:val="continue"/>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不满1千伏</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1-10千伏</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35千伏</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110千伏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220千伏</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最大需量</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（元/千瓦·月）</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变压器容量（元/千瓦·月）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工商业及其他用电（单一制）</w:t>
            </w:r>
          </w:p>
        </w:tc>
        <w:tc>
          <w:tcPr>
            <w:tcW w:w="1175"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0.746</w:t>
            </w:r>
          </w:p>
        </w:tc>
        <w:tc>
          <w:tcPr>
            <w:tcW w:w="1341"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0.726</w:t>
            </w:r>
          </w:p>
        </w:tc>
        <w:tc>
          <w:tcPr>
            <w:tcW w:w="1324"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0.706</w:t>
            </w:r>
          </w:p>
        </w:tc>
        <w:tc>
          <w:tcPr>
            <w:tcW w:w="1293"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0.691</w:t>
            </w:r>
          </w:p>
        </w:tc>
        <w:tc>
          <w:tcPr>
            <w:tcW w:w="118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c>
          <w:tcPr>
            <w:tcW w:w="150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p>
        </w:tc>
        <w:tc>
          <w:tcPr>
            <w:tcW w:w="150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工商业及其他用电（两部制）</w:t>
            </w:r>
          </w:p>
        </w:tc>
        <w:tc>
          <w:tcPr>
            <w:tcW w:w="1175"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p>
        </w:tc>
        <w:tc>
          <w:tcPr>
            <w:tcW w:w="1341"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0.671</w:t>
            </w:r>
          </w:p>
        </w:tc>
        <w:tc>
          <w:tcPr>
            <w:tcW w:w="1324"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0.643</w:t>
            </w:r>
          </w:p>
        </w:tc>
        <w:tc>
          <w:tcPr>
            <w:tcW w:w="1293"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0.621</w:t>
            </w:r>
          </w:p>
        </w:tc>
        <w:tc>
          <w:tcPr>
            <w:tcW w:w="118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0.601</w:t>
            </w:r>
          </w:p>
        </w:tc>
        <w:tc>
          <w:tcPr>
            <w:tcW w:w="150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36</w:t>
            </w:r>
          </w:p>
        </w:tc>
        <w:tc>
          <w:tcPr>
            <w:tcW w:w="1500" w:type="dxa"/>
            <w:vAlign w:val="center"/>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24</w:t>
            </w:r>
          </w:p>
        </w:tc>
      </w:tr>
    </w:tbl>
    <w:p>
      <w:pPr>
        <w:pageBreakBefore w:val="0"/>
        <w:kinsoku/>
        <w:wordWrap/>
        <w:overflowPunct/>
        <w:topLinePunct w:val="0"/>
        <w:autoSpaceDE/>
        <w:autoSpaceDN/>
        <w:bidi w:val="0"/>
        <w:adjustRightInd/>
        <w:spacing w:line="594" w:lineRule="exact"/>
        <w:textAlignment w:val="auto"/>
        <w:rPr>
          <w:rFonts w:hint="eastAsia" w:ascii="方正仿宋_GBK" w:hAnsi="方正仿宋_GBK" w:eastAsia="方正仿宋_GBK" w:cs="方正仿宋_GBK"/>
          <w:color w:val="000000" w:themeColor="text1"/>
          <w:sz w:val="24"/>
          <w:szCs w:val="28"/>
          <w14:textFill>
            <w14:solidFill>
              <w14:schemeClr w14:val="tx1"/>
            </w14:solidFill>
          </w14:textFill>
        </w:rPr>
      </w:pPr>
    </w:p>
    <w:p>
      <w:pPr>
        <w:pageBreakBefore w:val="0"/>
        <w:kinsoku/>
        <w:wordWrap/>
        <w:overflowPunct/>
        <w:topLinePunct w:val="0"/>
        <w:autoSpaceDE/>
        <w:autoSpaceDN/>
        <w:bidi w:val="0"/>
        <w:adjustRightInd/>
        <w:spacing w:line="594"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8"/>
          <w14:textFill>
            <w14:solidFill>
              <w14:schemeClr w14:val="tx1"/>
            </w14:solidFill>
          </w14:textFill>
        </w:rPr>
        <w:t xml:space="preserve">用水价格               </w:t>
      </w:r>
      <w:r>
        <w:rPr>
          <w:rFonts w:hint="eastAsia" w:ascii="方正仿宋_GBK" w:hAnsi="方正仿宋_GBK" w:eastAsia="方正仿宋_GBK" w:cs="方正仿宋_GBK"/>
          <w:color w:val="000000" w:themeColor="text1"/>
          <w:sz w:val="24"/>
          <w:szCs w:val="28"/>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4"/>
          <w:szCs w:val="28"/>
          <w14:textFill>
            <w14:solidFill>
              <w14:schemeClr w14:val="tx1"/>
            </w14:solidFill>
          </w14:textFill>
        </w:rPr>
        <w:t>计价单位：</w:t>
      </w:r>
      <w:r>
        <w:rPr>
          <w:rFonts w:hint="eastAsia" w:ascii="方正仿宋_GBK" w:hAnsi="方正仿宋_GBK" w:eastAsia="方正仿宋_GBK" w:cs="方正仿宋_GBK"/>
          <w:color w:val="000000" w:themeColor="text1"/>
          <w:sz w:val="24"/>
          <w:szCs w:val="24"/>
          <w14:textFill>
            <w14:solidFill>
              <w14:schemeClr w14:val="tx1"/>
            </w14:solidFill>
          </w14:textFill>
        </w:rPr>
        <w:t>元/吨</w:t>
      </w:r>
    </w:p>
    <w:tbl>
      <w:tblPr>
        <w:tblStyle w:val="8"/>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175"/>
        <w:gridCol w:w="1341"/>
        <w:gridCol w:w="1324"/>
        <w:gridCol w:w="1293"/>
        <w:gridCol w:w="11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color w:val="000000" w:themeColor="text1"/>
                <w:kern w:val="0"/>
                <w:sz w:val="20"/>
                <w:szCs w:val="21"/>
                <w14:textFill>
                  <w14:solidFill>
                    <w14:schemeClr w14:val="tx1"/>
                  </w14:solidFill>
                </w14:textFill>
              </w:rPr>
              <w:t>用水分类</w:t>
            </w:r>
          </w:p>
        </w:tc>
        <w:tc>
          <w:tcPr>
            <w:tcW w:w="1175"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color w:val="000000" w:themeColor="text1"/>
                <w:kern w:val="0"/>
                <w:sz w:val="20"/>
                <w:szCs w:val="21"/>
                <w14:textFill>
                  <w14:solidFill>
                    <w14:schemeClr w14:val="tx1"/>
                  </w14:solidFill>
                </w14:textFill>
              </w:rPr>
              <w:t>基本水价</w:t>
            </w:r>
          </w:p>
        </w:tc>
        <w:tc>
          <w:tcPr>
            <w:tcW w:w="1341"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color w:val="000000" w:themeColor="text1"/>
                <w:kern w:val="0"/>
                <w:sz w:val="20"/>
                <w:szCs w:val="21"/>
                <w14:textFill>
                  <w14:solidFill>
                    <w14:schemeClr w14:val="tx1"/>
                  </w14:solidFill>
                </w14:textFill>
              </w:rPr>
              <w:t>污水处理费</w:t>
            </w:r>
          </w:p>
        </w:tc>
        <w:tc>
          <w:tcPr>
            <w:tcW w:w="1324"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color w:val="000000" w:themeColor="text1"/>
                <w:kern w:val="0"/>
                <w:sz w:val="20"/>
                <w:szCs w:val="21"/>
                <w14:textFill>
                  <w14:solidFill>
                    <w14:schemeClr w14:val="tx1"/>
                  </w14:solidFill>
                </w14:textFill>
              </w:rPr>
              <w:t>水资源费</w:t>
            </w:r>
          </w:p>
        </w:tc>
        <w:tc>
          <w:tcPr>
            <w:tcW w:w="1293"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t>其他用水</w:t>
            </w:r>
          </w:p>
        </w:tc>
        <w:tc>
          <w:tcPr>
            <w:tcW w:w="1180" w:type="dxa"/>
          </w:tcPr>
          <w:p>
            <w:pPr>
              <w:pageBreakBefore w:val="0"/>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b/>
                <w:bCs/>
                <w:color w:val="000000" w:themeColor="text1"/>
                <w:kern w:val="0"/>
                <w:sz w:val="20"/>
                <w:szCs w:val="21"/>
                <w:lang w:eastAsia="zh-CN"/>
                <w14:textFill>
                  <w14:solidFill>
                    <w14:schemeClr w14:val="tx1"/>
                  </w14:solidFill>
                </w14:textFill>
              </w:rPr>
            </w:pPr>
            <w:r>
              <w:rPr>
                <w:rFonts w:hint="eastAsia" w:ascii="Times New Roman" w:hAnsi="Times New Roman" w:eastAsia="方正仿宋_GBK" w:cs="Times New Roman"/>
                <w:b/>
                <w:bCs/>
                <w:color w:val="000000" w:themeColor="text1"/>
                <w:kern w:val="0"/>
                <w:sz w:val="20"/>
                <w:szCs w:val="21"/>
                <w:lang w:val="en-US" w:eastAsia="zh-CN"/>
                <w14:textFill>
                  <w14:solidFill>
                    <w14:schemeClr w14:val="tx1"/>
                  </w14:solidFill>
                </w14:textFill>
              </w:rPr>
              <w:t>原水费</w:t>
            </w:r>
          </w:p>
        </w:tc>
        <w:tc>
          <w:tcPr>
            <w:tcW w:w="150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b/>
                <w:bCs/>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color w:val="000000" w:themeColor="text1"/>
                <w:kern w:val="0"/>
                <w:sz w:val="20"/>
                <w:szCs w:val="21"/>
                <w14:textFill>
                  <w14:solidFill>
                    <w14:schemeClr w14:val="tx1"/>
                  </w14:solidFill>
                </w14:textFill>
              </w:rPr>
              <w:t>用户实缴水费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居民生活用水</w:t>
            </w:r>
          </w:p>
        </w:tc>
        <w:tc>
          <w:tcPr>
            <w:tcW w:w="1175"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2.15</w:t>
            </w:r>
          </w:p>
        </w:tc>
        <w:tc>
          <w:tcPr>
            <w:tcW w:w="1341"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1.00</w:t>
            </w:r>
          </w:p>
        </w:tc>
        <w:tc>
          <w:tcPr>
            <w:tcW w:w="1324"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0.12</w:t>
            </w:r>
          </w:p>
        </w:tc>
        <w:tc>
          <w:tcPr>
            <w:tcW w:w="1293"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0.13</w:t>
            </w:r>
          </w:p>
        </w:tc>
        <w:tc>
          <w:tcPr>
            <w:tcW w:w="118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44</w:t>
            </w:r>
          </w:p>
        </w:tc>
        <w:tc>
          <w:tcPr>
            <w:tcW w:w="150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工业用水</w:t>
            </w:r>
          </w:p>
        </w:tc>
        <w:tc>
          <w:tcPr>
            <w:tcW w:w="1175"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2.</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70</w:t>
            </w:r>
          </w:p>
        </w:tc>
        <w:tc>
          <w:tcPr>
            <w:tcW w:w="1341"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1.30</w:t>
            </w:r>
          </w:p>
        </w:tc>
        <w:tc>
          <w:tcPr>
            <w:tcW w:w="1324"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0.12</w:t>
            </w:r>
          </w:p>
        </w:tc>
        <w:tc>
          <w:tcPr>
            <w:tcW w:w="1293"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0.13</w:t>
            </w:r>
          </w:p>
        </w:tc>
        <w:tc>
          <w:tcPr>
            <w:tcW w:w="118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44</w:t>
            </w:r>
          </w:p>
        </w:tc>
        <w:tc>
          <w:tcPr>
            <w:tcW w:w="150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4.</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特种行业</w:t>
            </w:r>
            <w:r>
              <w:rPr>
                <w:rFonts w:hint="default" w:ascii="Times New Roman" w:hAnsi="Times New Roman" w:eastAsia="方正仿宋_GBK" w:cs="Times New Roman"/>
                <w:color w:val="000000" w:themeColor="text1"/>
                <w:kern w:val="0"/>
                <w:sz w:val="20"/>
                <w:szCs w:val="21"/>
                <w14:textFill>
                  <w14:solidFill>
                    <w14:schemeClr w14:val="tx1"/>
                  </w14:solidFill>
                </w14:textFill>
              </w:rPr>
              <w:t>用水</w:t>
            </w:r>
          </w:p>
        </w:tc>
        <w:tc>
          <w:tcPr>
            <w:tcW w:w="1175"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5.20</w:t>
            </w:r>
          </w:p>
        </w:tc>
        <w:tc>
          <w:tcPr>
            <w:tcW w:w="1341"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1.30</w:t>
            </w:r>
          </w:p>
        </w:tc>
        <w:tc>
          <w:tcPr>
            <w:tcW w:w="1324"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0.12</w:t>
            </w:r>
          </w:p>
        </w:tc>
        <w:tc>
          <w:tcPr>
            <w:tcW w:w="1293"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0.13</w:t>
            </w:r>
          </w:p>
        </w:tc>
        <w:tc>
          <w:tcPr>
            <w:tcW w:w="118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44</w:t>
            </w:r>
          </w:p>
        </w:tc>
        <w:tc>
          <w:tcPr>
            <w:tcW w:w="1500" w:type="dxa"/>
          </w:tcPr>
          <w:p>
            <w:pPr>
              <w:pageBreakBefore w:val="0"/>
              <w:kinsoku/>
              <w:wordWrap/>
              <w:overflowPunct/>
              <w:topLinePunct w:val="0"/>
              <w:autoSpaceDE/>
              <w:autoSpaceDN/>
              <w:bidi w:val="0"/>
              <w:adjustRightInd/>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7.00</w:t>
            </w:r>
          </w:p>
        </w:tc>
      </w:tr>
    </w:tbl>
    <w:p>
      <w:pPr>
        <w:pageBreakBefore w:val="0"/>
        <w:kinsoku/>
        <w:wordWrap/>
        <w:overflowPunct/>
        <w:topLinePunct w:val="0"/>
        <w:autoSpaceDE/>
        <w:autoSpaceDN/>
        <w:bidi w:val="0"/>
        <w:adjustRightInd/>
        <w:spacing w:line="594" w:lineRule="exact"/>
        <w:jc w:val="center"/>
        <w:textAlignment w:val="auto"/>
        <w:rPr>
          <w:rFonts w:hint="default" w:ascii="方正仿宋_GBK" w:hAnsi="方正仿宋_GBK" w:eastAsia="方正仿宋_GBK" w:cs="方正仿宋_GBK"/>
          <w:color w:val="000000" w:themeColor="text1"/>
          <w:sz w:val="24"/>
          <w:szCs w:val="28"/>
          <w14:textFill>
            <w14:solidFill>
              <w14:schemeClr w14:val="tx1"/>
            </w14:solidFill>
          </w14:textFill>
        </w:rPr>
      </w:pPr>
      <w:bookmarkStart w:id="4" w:name="OLE_LINK6"/>
      <w:r>
        <w:rPr>
          <w:rFonts w:hint="default" w:ascii="方正仿宋_GBK" w:hAnsi="方正仿宋_GBK" w:eastAsia="方正仿宋_GBK" w:cs="方正仿宋_GBK"/>
          <w:color w:val="000000" w:themeColor="text1"/>
          <w:sz w:val="24"/>
          <w:szCs w:val="28"/>
          <w14:textFill>
            <w14:solidFill>
              <w14:schemeClr w14:val="tx1"/>
            </w14:solidFill>
          </w14:textFill>
        </w:rPr>
        <w:t>用气价格                计价单位：元/</w:t>
      </w:r>
      <w:bookmarkStart w:id="5" w:name="OLE_LINK8"/>
      <w:r>
        <w:rPr>
          <w:rFonts w:hint="default" w:ascii="方正仿宋_GBK" w:hAnsi="方正仿宋_GBK" w:eastAsia="方正仿宋_GBK" w:cs="方正仿宋_GBK"/>
          <w:color w:val="000000" w:themeColor="text1"/>
          <w:sz w:val="24"/>
          <w:szCs w:val="28"/>
          <w14:textFill>
            <w14:solidFill>
              <w14:schemeClr w14:val="tx1"/>
            </w14:solidFill>
          </w14:textFill>
        </w:rPr>
        <w:t>m3</w:t>
      </w:r>
      <w:bookmarkEnd w:id="5"/>
    </w:p>
    <w:tbl>
      <w:tblPr>
        <w:tblStyle w:val="8"/>
        <w:tblW w:w="4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191"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t>用气类型</w:t>
            </w:r>
          </w:p>
        </w:tc>
        <w:tc>
          <w:tcPr>
            <w:tcW w:w="1529"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t>价格标准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191"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工业生产用气</w:t>
            </w:r>
            <w:r>
              <w:rPr>
                <w:rFonts w:hint="default" w:ascii="Times New Roman" w:hAnsi="Times New Roman" w:eastAsia="方正仿宋_GBK" w:cs="Times New Roman"/>
                <w:color w:val="000000" w:themeColor="text1"/>
                <w:spacing w:val="-20"/>
                <w:kern w:val="0"/>
                <w:sz w:val="20"/>
                <w:szCs w:val="21"/>
                <w14:textFill>
                  <w14:solidFill>
                    <w14:schemeClr w14:val="tx1"/>
                  </w14:solidFill>
                </w14:textFill>
              </w:rPr>
              <w:t>（CNG原料气）</w:t>
            </w:r>
          </w:p>
        </w:tc>
        <w:tc>
          <w:tcPr>
            <w:tcW w:w="1529"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2.</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3191"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商业用气</w:t>
            </w:r>
          </w:p>
        </w:tc>
        <w:tc>
          <w:tcPr>
            <w:tcW w:w="1529"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2.</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191"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集体用气</w:t>
            </w:r>
          </w:p>
        </w:tc>
        <w:tc>
          <w:tcPr>
            <w:tcW w:w="1529"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2.</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932</w:t>
            </w:r>
          </w:p>
        </w:tc>
      </w:tr>
    </w:tbl>
    <w:p>
      <w:pPr>
        <w:pageBreakBefore w:val="0"/>
        <w:kinsoku/>
        <w:wordWrap/>
        <w:overflowPunct/>
        <w:topLinePunct w:val="0"/>
        <w:autoSpaceDE/>
        <w:autoSpaceDN/>
        <w:bidi w:val="0"/>
        <w:adjustRightInd/>
        <w:spacing w:line="594" w:lineRule="exact"/>
        <w:jc w:val="center"/>
        <w:textAlignment w:val="auto"/>
        <w:rPr>
          <w:rFonts w:hint="default" w:ascii="方正仿宋_GBK" w:hAnsi="方正仿宋_GBK" w:eastAsia="方正仿宋_GBK" w:cs="方正仿宋_GBK"/>
          <w:color w:val="000000" w:themeColor="text1"/>
          <w:sz w:val="24"/>
          <w:szCs w:val="28"/>
          <w14:textFill>
            <w14:solidFill>
              <w14:schemeClr w14:val="tx1"/>
            </w14:solidFill>
          </w14:textFill>
        </w:rPr>
      </w:pPr>
      <w:r>
        <w:rPr>
          <w:rFonts w:hint="default" w:ascii="方正仿宋_GBK" w:hAnsi="方正仿宋_GBK" w:eastAsia="方正仿宋_GBK" w:cs="方正仿宋_GBK"/>
          <w:color w:val="000000" w:themeColor="text1"/>
          <w:sz w:val="24"/>
          <w:szCs w:val="28"/>
          <w14:textFill>
            <w14:solidFill>
              <w14:schemeClr w14:val="tx1"/>
            </w14:solidFill>
          </w14:textFill>
        </w:rPr>
        <w:t>运输价格            计价单位：元/吨/公里</w:t>
      </w:r>
    </w:p>
    <w:tbl>
      <w:tblPr>
        <w:tblStyle w:val="8"/>
        <w:tblW w:w="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256"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t>运输类型</w:t>
            </w:r>
          </w:p>
        </w:tc>
        <w:tc>
          <w:tcPr>
            <w:tcW w:w="1443"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pPr>
            <w:r>
              <w:rPr>
                <w:rFonts w:hint="default" w:ascii="Times New Roman" w:hAnsi="Times New Roman" w:eastAsia="方正仿宋_GBK" w:cs="Times New Roman"/>
                <w:b/>
                <w:bCs w:val="0"/>
                <w:color w:val="000000" w:themeColor="text1"/>
                <w:kern w:val="0"/>
                <w:sz w:val="20"/>
                <w:szCs w:val="21"/>
                <w14:textFill>
                  <w14:solidFill>
                    <w14:schemeClr w14:val="tx1"/>
                  </w14:solidFill>
                </w14:textFill>
              </w:rPr>
              <w:t>价格标准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256"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铁路</w:t>
            </w:r>
          </w:p>
        </w:tc>
        <w:tc>
          <w:tcPr>
            <w:tcW w:w="1443"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3256"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公路</w:t>
            </w:r>
          </w:p>
        </w:tc>
        <w:tc>
          <w:tcPr>
            <w:tcW w:w="1443"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0.5</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3256"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水路</w:t>
            </w:r>
          </w:p>
        </w:tc>
        <w:tc>
          <w:tcPr>
            <w:tcW w:w="1443"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仿宋_GBK" w:cs="Times New Roman"/>
                <w:color w:val="000000" w:themeColor="text1"/>
                <w:kern w:val="0"/>
                <w:sz w:val="20"/>
                <w:szCs w:val="21"/>
                <w:lang w:eastAsia="zh-CN"/>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0.0</w:t>
            </w:r>
            <w:r>
              <w:rPr>
                <w:rFonts w:hint="eastAsia" w:ascii="Times New Roman" w:hAnsi="Times New Roman" w:eastAsia="方正仿宋_GBK" w:cs="Times New Roman"/>
                <w:color w:val="000000" w:themeColor="text1"/>
                <w:kern w:val="0"/>
                <w:sz w:val="20"/>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56"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航空</w:t>
            </w:r>
          </w:p>
        </w:tc>
        <w:tc>
          <w:tcPr>
            <w:tcW w:w="1443" w:type="dxa"/>
            <w:vAlign w:val="center"/>
          </w:tcPr>
          <w:p>
            <w:pPr>
              <w:pageBreakBefore w:val="0"/>
              <w:kinsoku/>
              <w:wordWrap/>
              <w:overflowPunct/>
              <w:topLinePunct w:val="0"/>
              <w:autoSpaceDE/>
              <w:autoSpaceDN/>
              <w:bidi w:val="0"/>
              <w:adjustRightInd/>
              <w:snapToGrid w:val="0"/>
              <w:spacing w:line="594" w:lineRule="exact"/>
              <w:jc w:val="center"/>
              <w:textAlignment w:val="auto"/>
              <w:rPr>
                <w:rFonts w:hint="default" w:ascii="Times New Roman" w:hAnsi="Times New Roman" w:eastAsia="方正仿宋_GBK" w:cs="Times New Roman"/>
                <w:color w:val="000000" w:themeColor="text1"/>
                <w:kern w:val="0"/>
                <w:sz w:val="20"/>
                <w:szCs w:val="21"/>
                <w14:textFill>
                  <w14:solidFill>
                    <w14:schemeClr w14:val="tx1"/>
                  </w14:solidFill>
                </w14:textFill>
              </w:rPr>
            </w:pPr>
            <w:r>
              <w:rPr>
                <w:rFonts w:hint="default" w:ascii="Times New Roman" w:hAnsi="Times New Roman" w:eastAsia="方正仿宋_GBK" w:cs="Times New Roman"/>
                <w:color w:val="000000" w:themeColor="text1"/>
                <w:kern w:val="0"/>
                <w:sz w:val="20"/>
                <w:szCs w:val="21"/>
                <w14:textFill>
                  <w14:solidFill>
                    <w14:schemeClr w14:val="tx1"/>
                  </w14:solidFill>
                </w14:textFill>
              </w:rPr>
              <w:t>4.84</w:t>
            </w:r>
          </w:p>
        </w:tc>
      </w:tr>
      <w:bookmarkEnd w:id="4"/>
    </w:tbl>
    <w:p>
      <w:pPr>
        <w:pageBreakBefore w:val="0"/>
        <w:widowControl/>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color w:val="000000" w:themeColor="text1"/>
          <w14:textFill>
            <w14:solidFill>
              <w14:schemeClr w14:val="tx1"/>
            </w14:solidFill>
          </w14:textFill>
        </w:rPr>
      </w:pPr>
    </w:p>
    <w:p>
      <w:pPr>
        <w:pageBreakBefore w:val="0"/>
        <w:widowControl/>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单位：重庆市永川区招商投资促进局</w:t>
      </w:r>
      <w:bookmarkStart w:id="6" w:name="_GoBack"/>
      <w:bookmarkEnd w:id="6"/>
    </w:p>
    <w:p>
      <w:pPr>
        <w:pageBreakBefore w:val="0"/>
        <w:widowControl/>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联系地址：重庆市永川区人民大道191号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一楼</w:t>
      </w:r>
    </w:p>
    <w:p>
      <w:pPr>
        <w:pageBreakBefore w:val="0"/>
        <w:widowControl/>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联系人：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朱斌13883612507</w:t>
      </w:r>
    </w:p>
    <w:p>
      <w:pPr>
        <w:pageBreakBefore w:val="0"/>
        <w:widowControl/>
        <w:kinsoku/>
        <w:wordWrap/>
        <w:overflowPunct/>
        <w:topLinePunct w:val="0"/>
        <w:autoSpaceDE/>
        <w:autoSpaceDN/>
        <w:bidi w:val="0"/>
        <w:adjustRightInd/>
        <w:spacing w:line="594"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招商</w:t>
      </w:r>
      <w:r>
        <w:rPr>
          <w:rFonts w:hint="default" w:ascii="Times New Roman" w:hAnsi="Times New Roman" w:eastAsia="方正仿宋_GBK" w:cs="Times New Roman"/>
          <w:color w:val="000000" w:themeColor="text1"/>
          <w:sz w:val="32"/>
          <w:szCs w:val="32"/>
          <w14:textFill>
            <w14:solidFill>
              <w14:schemeClr w14:val="tx1"/>
            </w14:solidFill>
          </w14:textFill>
        </w:rPr>
        <w:t>电话：023-49</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887999 </w:t>
      </w:r>
      <w:r>
        <w:rPr>
          <w:rFonts w:hint="default" w:ascii="Times New Roman" w:hAnsi="Times New Roman" w:eastAsia="方正仿宋_GBK" w:cs="Times New Roman"/>
          <w:color w:val="000000" w:themeColor="text1"/>
          <w:sz w:val="32"/>
          <w:szCs w:val="32"/>
          <w14:textFill>
            <w14:solidFill>
              <w14:schemeClr w14:val="tx1"/>
            </w14:solidFill>
          </w14:textFill>
        </w:rPr>
        <w:t>邮箱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:yczstzcj@163.com </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352A5"/>
    <w:multiLevelType w:val="singleLevel"/>
    <w:tmpl w:val="77F352A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80512"/>
    <w:rsid w:val="00F17669"/>
    <w:rsid w:val="01464C72"/>
    <w:rsid w:val="02776ECA"/>
    <w:rsid w:val="02C44002"/>
    <w:rsid w:val="02F75F7D"/>
    <w:rsid w:val="032655F9"/>
    <w:rsid w:val="03524E96"/>
    <w:rsid w:val="03640F3A"/>
    <w:rsid w:val="03EA43FF"/>
    <w:rsid w:val="04BA7081"/>
    <w:rsid w:val="04D549D4"/>
    <w:rsid w:val="04E347C6"/>
    <w:rsid w:val="05791224"/>
    <w:rsid w:val="061630D1"/>
    <w:rsid w:val="06710886"/>
    <w:rsid w:val="07C94F70"/>
    <w:rsid w:val="07F73183"/>
    <w:rsid w:val="08A143E2"/>
    <w:rsid w:val="0A852F24"/>
    <w:rsid w:val="0A894A89"/>
    <w:rsid w:val="0AD96E1D"/>
    <w:rsid w:val="0B0C22EF"/>
    <w:rsid w:val="0BA75808"/>
    <w:rsid w:val="0BB83718"/>
    <w:rsid w:val="0D1A322E"/>
    <w:rsid w:val="0F3F0C3A"/>
    <w:rsid w:val="0F522DF2"/>
    <w:rsid w:val="11DD142F"/>
    <w:rsid w:val="123147A1"/>
    <w:rsid w:val="12900D2D"/>
    <w:rsid w:val="13095A32"/>
    <w:rsid w:val="1400329D"/>
    <w:rsid w:val="14D0081B"/>
    <w:rsid w:val="165D6EB8"/>
    <w:rsid w:val="166B4923"/>
    <w:rsid w:val="16B62094"/>
    <w:rsid w:val="16D342B4"/>
    <w:rsid w:val="17A96F04"/>
    <w:rsid w:val="17C143C9"/>
    <w:rsid w:val="17CE2571"/>
    <w:rsid w:val="18B063E8"/>
    <w:rsid w:val="191C3526"/>
    <w:rsid w:val="19EF60C4"/>
    <w:rsid w:val="1A3F5A39"/>
    <w:rsid w:val="1C7B7C28"/>
    <w:rsid w:val="1CA2004B"/>
    <w:rsid w:val="1D19564E"/>
    <w:rsid w:val="1D565BB0"/>
    <w:rsid w:val="1D832DD5"/>
    <w:rsid w:val="1DCE7466"/>
    <w:rsid w:val="1E202D36"/>
    <w:rsid w:val="1E9A25C9"/>
    <w:rsid w:val="1EA23182"/>
    <w:rsid w:val="20946711"/>
    <w:rsid w:val="21650E98"/>
    <w:rsid w:val="2250591D"/>
    <w:rsid w:val="22C42F25"/>
    <w:rsid w:val="22F3433F"/>
    <w:rsid w:val="23664BC2"/>
    <w:rsid w:val="24721141"/>
    <w:rsid w:val="24B67A8B"/>
    <w:rsid w:val="25213A33"/>
    <w:rsid w:val="2563291B"/>
    <w:rsid w:val="25A52D97"/>
    <w:rsid w:val="27AD4EC7"/>
    <w:rsid w:val="28726BFE"/>
    <w:rsid w:val="29FB5B0C"/>
    <w:rsid w:val="2A2F6AF8"/>
    <w:rsid w:val="2B572369"/>
    <w:rsid w:val="2BA21E29"/>
    <w:rsid w:val="2BF9373D"/>
    <w:rsid w:val="2C61191F"/>
    <w:rsid w:val="2C98555E"/>
    <w:rsid w:val="2CB421DE"/>
    <w:rsid w:val="2DE50663"/>
    <w:rsid w:val="2E5925C5"/>
    <w:rsid w:val="2F4A0591"/>
    <w:rsid w:val="2F8769AC"/>
    <w:rsid w:val="2FE45FC4"/>
    <w:rsid w:val="2FEB12DE"/>
    <w:rsid w:val="30AA4878"/>
    <w:rsid w:val="30AB31AE"/>
    <w:rsid w:val="317544AF"/>
    <w:rsid w:val="319D4CB4"/>
    <w:rsid w:val="329035D0"/>
    <w:rsid w:val="329A213E"/>
    <w:rsid w:val="33B2045E"/>
    <w:rsid w:val="33CF3B9B"/>
    <w:rsid w:val="33EC7DF1"/>
    <w:rsid w:val="34CB7D45"/>
    <w:rsid w:val="34F25356"/>
    <w:rsid w:val="35785CBE"/>
    <w:rsid w:val="35893FCF"/>
    <w:rsid w:val="35C956BC"/>
    <w:rsid w:val="362A4EF8"/>
    <w:rsid w:val="363814D1"/>
    <w:rsid w:val="36490243"/>
    <w:rsid w:val="366F5095"/>
    <w:rsid w:val="36CF0E85"/>
    <w:rsid w:val="396669C2"/>
    <w:rsid w:val="398D5F51"/>
    <w:rsid w:val="39FD1E5E"/>
    <w:rsid w:val="3A350D70"/>
    <w:rsid w:val="3B737E6F"/>
    <w:rsid w:val="3B99401F"/>
    <w:rsid w:val="3C634435"/>
    <w:rsid w:val="3C936A65"/>
    <w:rsid w:val="3CCC7340"/>
    <w:rsid w:val="3D5D1769"/>
    <w:rsid w:val="3F1B1710"/>
    <w:rsid w:val="3FBA6065"/>
    <w:rsid w:val="40D26DE6"/>
    <w:rsid w:val="43114AFB"/>
    <w:rsid w:val="433972AD"/>
    <w:rsid w:val="4461318E"/>
    <w:rsid w:val="44CC6A30"/>
    <w:rsid w:val="456F5C35"/>
    <w:rsid w:val="45A80512"/>
    <w:rsid w:val="461041EC"/>
    <w:rsid w:val="461377B1"/>
    <w:rsid w:val="46C20954"/>
    <w:rsid w:val="47340D36"/>
    <w:rsid w:val="481A060F"/>
    <w:rsid w:val="4A483DAD"/>
    <w:rsid w:val="4A6D3AC8"/>
    <w:rsid w:val="4B540C32"/>
    <w:rsid w:val="4B6413BA"/>
    <w:rsid w:val="4D367C42"/>
    <w:rsid w:val="4D696BF0"/>
    <w:rsid w:val="4E652419"/>
    <w:rsid w:val="4F7034A2"/>
    <w:rsid w:val="4FF83D85"/>
    <w:rsid w:val="50FC51B0"/>
    <w:rsid w:val="513662E3"/>
    <w:rsid w:val="51775AD3"/>
    <w:rsid w:val="524D375B"/>
    <w:rsid w:val="52E97D35"/>
    <w:rsid w:val="5337773D"/>
    <w:rsid w:val="55B122F5"/>
    <w:rsid w:val="5787237C"/>
    <w:rsid w:val="57E05392"/>
    <w:rsid w:val="59015C05"/>
    <w:rsid w:val="59651B58"/>
    <w:rsid w:val="59B44507"/>
    <w:rsid w:val="5A45311C"/>
    <w:rsid w:val="5A5863F0"/>
    <w:rsid w:val="5AA167D8"/>
    <w:rsid w:val="5BC6549C"/>
    <w:rsid w:val="5BD32825"/>
    <w:rsid w:val="5C410BE9"/>
    <w:rsid w:val="5C495B52"/>
    <w:rsid w:val="5E0833DF"/>
    <w:rsid w:val="5E600E57"/>
    <w:rsid w:val="5EB65B0F"/>
    <w:rsid w:val="5F044FBB"/>
    <w:rsid w:val="5F053ED1"/>
    <w:rsid w:val="5F8D5402"/>
    <w:rsid w:val="5FB00BCD"/>
    <w:rsid w:val="5FFB7FF3"/>
    <w:rsid w:val="60F60005"/>
    <w:rsid w:val="61951E7C"/>
    <w:rsid w:val="62613EEA"/>
    <w:rsid w:val="62A1341A"/>
    <w:rsid w:val="62B056AC"/>
    <w:rsid w:val="635B589B"/>
    <w:rsid w:val="63AF0E37"/>
    <w:rsid w:val="64185728"/>
    <w:rsid w:val="64635C07"/>
    <w:rsid w:val="64BF14A0"/>
    <w:rsid w:val="64E04433"/>
    <w:rsid w:val="652D12C4"/>
    <w:rsid w:val="65457170"/>
    <w:rsid w:val="658F6C9A"/>
    <w:rsid w:val="66EF2CD4"/>
    <w:rsid w:val="66F22C05"/>
    <w:rsid w:val="66F95B50"/>
    <w:rsid w:val="67BE3082"/>
    <w:rsid w:val="68432ED2"/>
    <w:rsid w:val="6A1A40C8"/>
    <w:rsid w:val="6AE34828"/>
    <w:rsid w:val="6BE245F7"/>
    <w:rsid w:val="6BE511A8"/>
    <w:rsid w:val="6C104C77"/>
    <w:rsid w:val="6C1A53D1"/>
    <w:rsid w:val="6C567E9D"/>
    <w:rsid w:val="6CA07D9C"/>
    <w:rsid w:val="6CC34515"/>
    <w:rsid w:val="6EAA33E0"/>
    <w:rsid w:val="70221113"/>
    <w:rsid w:val="70353055"/>
    <w:rsid w:val="703C4042"/>
    <w:rsid w:val="704E4A9A"/>
    <w:rsid w:val="70723E65"/>
    <w:rsid w:val="70DD7252"/>
    <w:rsid w:val="71BE1002"/>
    <w:rsid w:val="71FD36B0"/>
    <w:rsid w:val="720E7F76"/>
    <w:rsid w:val="72E84235"/>
    <w:rsid w:val="73433971"/>
    <w:rsid w:val="73A16FE8"/>
    <w:rsid w:val="73BD6257"/>
    <w:rsid w:val="74007BED"/>
    <w:rsid w:val="741E03C3"/>
    <w:rsid w:val="75CE7B9C"/>
    <w:rsid w:val="768F234A"/>
    <w:rsid w:val="76B65455"/>
    <w:rsid w:val="78B10542"/>
    <w:rsid w:val="78C12C72"/>
    <w:rsid w:val="78D06195"/>
    <w:rsid w:val="791543B7"/>
    <w:rsid w:val="7A5E34A0"/>
    <w:rsid w:val="7AAC08DB"/>
    <w:rsid w:val="7BD63146"/>
    <w:rsid w:val="7BEF4003"/>
    <w:rsid w:val="7D3F10C3"/>
    <w:rsid w:val="7D571536"/>
    <w:rsid w:val="7DD56515"/>
    <w:rsid w:val="7E6D21F5"/>
    <w:rsid w:val="7FC3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spacing w:line="576" w:lineRule="auto"/>
      <w:outlineLvl w:val="0"/>
    </w:pPr>
    <w:rPr>
      <w:rFonts w:ascii="Times New Roman" w:hAnsi="Times New Roman" w:eastAsia="宋体" w:cs="Times New Roman"/>
      <w:b/>
      <w:kern w:val="44"/>
      <w:sz w:val="44"/>
    </w:rPr>
  </w:style>
  <w:style w:type="paragraph" w:styleId="5">
    <w:name w:val="heading 2"/>
    <w:basedOn w:val="1"/>
    <w:next w:val="1"/>
    <w:qFormat/>
    <w:uiPriority w:val="0"/>
    <w:pPr>
      <w:keepNext/>
      <w:keepLines/>
      <w:spacing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qFormat/>
    <w:uiPriority w:val="0"/>
    <w:pPr>
      <w:spacing w:after="12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character" w:customStyle="1" w:styleId="13">
    <w:name w:val="xz-icon1"/>
    <w:basedOn w:val="9"/>
    <w:qFormat/>
    <w:uiPriority w:val="0"/>
  </w:style>
  <w:style w:type="character" w:customStyle="1" w:styleId="14">
    <w:name w:val="xz-icon2"/>
    <w:basedOn w:val="9"/>
    <w:qFormat/>
    <w:uiPriority w:val="0"/>
  </w:style>
  <w:style w:type="character" w:customStyle="1" w:styleId="15">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4800</Words>
  <Characters>5270</Characters>
  <Lines>0</Lines>
  <Paragraphs>0</Paragraphs>
  <TotalTime>177</TotalTime>
  <ScaleCrop>false</ScaleCrop>
  <LinksUpToDate>false</LinksUpToDate>
  <CharactersWithSpaces>5414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2019-12-10T09:15:00Z</dcterms:created>
  <dc:creator>周克雷</dc:creator>
  <cp:lastModifiedBy>陌尘百里</cp:lastModifiedBy>
  <cp:lastPrinted>2022-03-18T08:53:00Z</cp:lastPrinted>
  <dcterms:modified xsi:type="dcterms:W3CDTF">2022-03-31T01:38:03Z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28863837_cloud</vt:lpwstr>
  </property>
  <property fmtid="{D5CDD505-2E9C-101B-9397-08002B2CF9AE}" pid="4" name="ICV">
    <vt:lpwstr>61896B50D1E4469EBE9F0BFA2BD3CE30</vt:lpwstr>
  </property>
</Properties>
</file>