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880"/>
        <w:jc w:val="center"/>
        <w:rPr>
          <w:sz w:val="44"/>
        </w:rPr>
      </w:pPr>
    </w:p>
    <w:p>
      <w:pPr>
        <w:spacing w:line="1000" w:lineRule="exact"/>
        <w:ind w:firstLine="880"/>
        <w:jc w:val="center"/>
        <w:rPr>
          <w:sz w:val="44"/>
        </w:rPr>
      </w:pPr>
      <w:r>
        <w:rPr>
          <w:rFonts w:hint="eastAsia"/>
          <w:sz w:val="44"/>
        </w:rPr>
        <w:t xml:space="preserve"> </w:t>
      </w:r>
    </w:p>
    <w:p>
      <w:pPr>
        <w:spacing w:line="1500" w:lineRule="exact"/>
        <w:rPr>
          <w:rFonts w:ascii="方正小标宋_GBK" w:eastAsia="方正小标宋_GBK"/>
          <w:color w:val="FF0000"/>
          <w:spacing w:val="20"/>
          <w:w w:val="60"/>
          <w:sz w:val="118"/>
          <w:szCs w:val="118"/>
        </w:rPr>
      </w:pPr>
      <w:r>
        <w:rPr>
          <w:rFonts w:hint="eastAsia" w:ascii="方正小标宋_GBK" w:eastAsia="方正小标宋_GBK"/>
          <w:color w:val="FF0000"/>
          <w:spacing w:val="20"/>
          <w:w w:val="60"/>
          <w:sz w:val="118"/>
          <w:szCs w:val="118"/>
        </w:rPr>
        <w:t>重庆市永川区教育委员会</w:t>
      </w:r>
    </w:p>
    <w:p>
      <w:pPr>
        <w:spacing w:line="440" w:lineRule="exact"/>
        <w:rPr>
          <w:szCs w:val="32"/>
        </w:rPr>
      </w:pPr>
    </w:p>
    <w:p>
      <w:pPr>
        <w:spacing w:line="440" w:lineRule="exact"/>
        <w:ind w:firstLine="315" w:firstLineChars="150"/>
        <w:rPr>
          <w:szCs w:val="32"/>
        </w:rPr>
      </w:pPr>
    </w:p>
    <w:p>
      <w:pPr>
        <w:spacing w:line="440" w:lineRule="exact"/>
        <w:jc w:val="center"/>
        <w:rPr>
          <w:rFonts w:ascii="方正仿宋_GBK" w:eastAsia="方正仿宋_GBK"/>
          <w:sz w:val="32"/>
          <w:szCs w:val="32"/>
        </w:rPr>
      </w:pPr>
      <w:r>
        <w:rPr>
          <w:rFonts w:hint="eastAsia" w:ascii="方正仿宋_GBK" w:eastAsia="方正仿宋_GBK"/>
          <w:sz w:val="32"/>
          <w:szCs w:val="32"/>
        </w:rPr>
        <w:t>永教职成</w:t>
      </w:r>
      <w:r>
        <w:rPr>
          <w:rFonts w:ascii="方正仿宋_GBK" w:eastAsia="方正仿宋_GBK"/>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方正仿宋_GBK" w:eastAsia="方正仿宋_GBK"/>
          <w:sz w:val="32"/>
          <w:szCs w:val="32"/>
        </w:rPr>
        <w:t>〕</w:t>
      </w:r>
      <w:r>
        <w:rPr>
          <w:rFonts w:hint="default" w:ascii="Times New Roman" w:hAnsi="Times New Roman" w:eastAsia="方正仿宋_GBK" w:cs="Times New Roman"/>
          <w:sz w:val="32"/>
          <w:szCs w:val="32"/>
          <w:lang w:val="en-US" w:eastAsia="zh-CN"/>
        </w:rPr>
        <w:t>20</w:t>
      </w:r>
      <w:r>
        <w:rPr>
          <w:rFonts w:hint="eastAsia" w:ascii="方正仿宋_GBK" w:eastAsia="方正仿宋_GBK"/>
          <w:sz w:val="32"/>
          <w:szCs w:val="32"/>
        </w:rPr>
        <w:t>号</w:t>
      </w:r>
    </w:p>
    <w:p>
      <w:pPr>
        <w:ind w:firstLine="883"/>
        <w:jc w:val="center"/>
        <w:rPr>
          <w:rFonts w:hint="eastAsia" w:ascii="方正小标宋_GBK" w:eastAsia="方正小标宋_GBK"/>
          <w:b/>
          <w:sz w:val="44"/>
          <w:szCs w:val="44"/>
        </w:rPr>
      </w:pPr>
      <w:r>
        <w:rPr>
          <w:rFonts w:ascii="方正小标宋_GBK" w:eastAsia="方正小标宋_GBK"/>
          <w:b/>
          <w:sz w:val="4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58420</wp:posOffset>
                </wp:positionV>
                <wp:extent cx="5394325" cy="0"/>
                <wp:effectExtent l="0" t="0" r="0" b="0"/>
                <wp:wrapNone/>
                <wp:docPr id="1" name="直线 7"/>
                <wp:cNvGraphicFramePr/>
                <a:graphic xmlns:a="http://schemas.openxmlformats.org/drawingml/2006/main">
                  <a:graphicData uri="http://schemas.microsoft.com/office/word/2010/wordprocessingShape">
                    <wps:wsp>
                      <wps:cNvSpPr/>
                      <wps:spPr>
                        <a:xfrm>
                          <a:off x="0" y="0"/>
                          <a:ext cx="539432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1.25pt;margin-top:4.6pt;height:0pt;width:424.75pt;z-index:251660288;mso-width-relative:page;mso-height-relative:page;" filled="f" stroked="t" coordsize="21600,21600" o:gfxdata="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07JmDUAAAA&#10;BgEAAA8AAAAAAAAAAQAgAAAAOAAAAGRycy9kb3ducmV2LnhtbFBLAQIUABQAAAAIAIdO4kCqVSTH&#10;0gEAAJEDAAAOAAAAAAAAAAEAIAAAADk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b/>
          <w:sz w:val="44"/>
          <w:szCs w:val="44"/>
        </w:rPr>
      </w:pPr>
      <w:r>
        <w:rPr>
          <w:rFonts w:hint="eastAsia" w:ascii="方正小标宋_GBK" w:eastAsia="方正小标宋_GBK"/>
          <w:b/>
          <w:sz w:val="44"/>
          <w:szCs w:val="44"/>
        </w:rPr>
        <w:t>重庆市永川区教育委员会</w:t>
      </w:r>
    </w:p>
    <w:p>
      <w:pPr>
        <w:pStyle w:val="4"/>
        <w:keepNext w:val="0"/>
        <w:keepLines w:val="0"/>
        <w:pageBreakBefore w:val="0"/>
        <w:shd w:val="clear" w:color="auto" w:fill="FFFFFF"/>
        <w:tabs>
          <w:tab w:val="left" w:pos="709"/>
        </w:tabs>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方正小标宋_GBK" w:hAnsi="Calibri" w:eastAsia="方正小标宋_GBK"/>
          <w:b/>
          <w:bCs/>
          <w:kern w:val="2"/>
          <w:sz w:val="44"/>
          <w:szCs w:val="44"/>
        </w:rPr>
      </w:pPr>
      <w:r>
        <w:rPr>
          <w:rFonts w:hint="eastAsia" w:ascii="方正小标宋_GBK" w:hAnsi="Calibri" w:eastAsia="方正小标宋_GBK"/>
          <w:b/>
          <w:bCs/>
          <w:kern w:val="2"/>
          <w:sz w:val="44"/>
          <w:szCs w:val="44"/>
        </w:rPr>
        <w:t>关于2022年校外教育培训机构白名单</w:t>
      </w:r>
    </w:p>
    <w:p>
      <w:pPr>
        <w:pStyle w:val="4"/>
        <w:keepNext w:val="0"/>
        <w:keepLines w:val="0"/>
        <w:pageBreakBefore w:val="0"/>
        <w:shd w:val="clear" w:color="auto" w:fill="FFFFFF"/>
        <w:tabs>
          <w:tab w:val="left" w:pos="709"/>
        </w:tabs>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方正小标宋_GBK" w:hAnsi="Calibri" w:eastAsia="方正小标宋_GBK"/>
          <w:b/>
          <w:bCs/>
          <w:kern w:val="2"/>
          <w:sz w:val="44"/>
          <w:szCs w:val="44"/>
        </w:rPr>
      </w:pPr>
      <w:r>
        <w:rPr>
          <w:rFonts w:hint="eastAsia" w:ascii="方正小标宋_GBK" w:hAnsi="Calibri" w:eastAsia="方正小标宋_GBK"/>
          <w:b/>
          <w:bCs/>
          <w:kern w:val="2"/>
          <w:sz w:val="44"/>
          <w:szCs w:val="44"/>
        </w:rPr>
        <w:t>（第</w:t>
      </w:r>
      <w:r>
        <w:rPr>
          <w:rFonts w:hint="eastAsia" w:ascii="方正小标宋_GBK" w:hAnsi="Calibri" w:eastAsia="方正小标宋_GBK"/>
          <w:b/>
          <w:bCs/>
          <w:kern w:val="2"/>
          <w:sz w:val="44"/>
          <w:szCs w:val="44"/>
          <w:lang w:val="en-US" w:eastAsia="zh-CN"/>
        </w:rPr>
        <w:t>三</w:t>
      </w:r>
      <w:r>
        <w:rPr>
          <w:rFonts w:hint="eastAsia" w:ascii="方正小标宋_GBK" w:hAnsi="Calibri" w:eastAsia="方正小标宋_GBK"/>
          <w:b/>
          <w:bCs/>
          <w:kern w:val="2"/>
          <w:sz w:val="44"/>
          <w:szCs w:val="44"/>
        </w:rPr>
        <w:t>批）的公告</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方正仿宋_GBK" w:hAnsi="Arial" w:eastAsia="方正仿宋_GBK" w:cs="Arial"/>
          <w:color w:val="191919"/>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color w:val="000000" w:themeColor="text1"/>
          <w:sz w:val="32"/>
          <w:szCs w:val="32"/>
          <w:shd w:val="clear" w:color="auto" w:fill="FEFEFE"/>
        </w:rPr>
      </w:pPr>
      <w:r>
        <w:rPr>
          <w:rFonts w:ascii="Times New Roman" w:hAnsi="Times New Roman" w:eastAsia="方正仿宋_GBK" w:cs="Times New Roman"/>
          <w:color w:val="000000" w:themeColor="text1"/>
          <w:sz w:val="32"/>
          <w:szCs w:val="32"/>
          <w:shd w:val="clear" w:color="auto" w:fill="FEFEFE"/>
        </w:rPr>
        <w:t>根据《中共中央办公厅 国务院办公厅印发〈关于进一步减轻义务教育阶段学生作业负担和校外培训负担的意见〉》（中办发〔2021〕40号）、《重庆市教育委员会 重庆市市场监督管理局 重庆市民政局关于进一步减轻义务教育阶段学生校外培训负担工作的通知》（渝教民发〔2021〕13号）等规定，区教委会同区市场监管局、区民政局等相关部门</w:t>
      </w:r>
      <w:r>
        <w:rPr>
          <w:rFonts w:ascii="Times New Roman" w:hAnsi="Times New Roman" w:eastAsia="方正仿宋_GBK" w:cs="Times New Roman"/>
          <w:color w:val="000000" w:themeColor="text1"/>
          <w:sz w:val="32"/>
          <w:szCs w:val="32"/>
        </w:rPr>
        <w:t>严格按照有关标准对全区校外培训机构进行复核审批</w:t>
      </w:r>
      <w:r>
        <w:rPr>
          <w:rFonts w:ascii="Times New Roman" w:hAnsi="Times New Roman" w:eastAsia="方正仿宋_GBK" w:cs="Times New Roman"/>
          <w:color w:val="000000" w:themeColor="text1"/>
          <w:sz w:val="32"/>
          <w:szCs w:val="32"/>
          <w:shd w:val="clear" w:color="auto" w:fill="FEFEFE"/>
        </w:rPr>
        <w:t>。现将2022年校外教育培训机构白名单（第</w:t>
      </w:r>
      <w:r>
        <w:rPr>
          <w:rFonts w:hint="eastAsia" w:ascii="Times New Roman" w:hAnsi="Times New Roman" w:eastAsia="方正仿宋_GBK" w:cs="Times New Roman"/>
          <w:color w:val="000000" w:themeColor="text1"/>
          <w:sz w:val="32"/>
          <w:szCs w:val="32"/>
          <w:shd w:val="clear" w:color="auto" w:fill="FEFEFE"/>
          <w:lang w:val="en-US" w:eastAsia="zh-CN"/>
        </w:rPr>
        <w:t>三</w:t>
      </w:r>
      <w:r>
        <w:rPr>
          <w:rFonts w:ascii="Times New Roman" w:hAnsi="Times New Roman" w:eastAsia="方正仿宋_GBK" w:cs="Times New Roman"/>
          <w:color w:val="000000" w:themeColor="text1"/>
          <w:sz w:val="32"/>
          <w:szCs w:val="32"/>
          <w:shd w:val="clear" w:color="auto" w:fill="FEFEFE"/>
        </w:rPr>
        <w:t>批）予以公告（详见附件）。以上民办教育培训机构的办学资质，每年须经区教委年检合格后方能继续办学。</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仿宋_GBK" w:cs="Times New Roman"/>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left="1598" w:leftChars="304" w:hanging="960" w:hangingChars="300"/>
        <w:textAlignment w:val="auto"/>
        <w:rPr>
          <w:rFonts w:ascii="Times New Roman" w:hAnsi="Times New Roman" w:eastAsia="方正仿宋_GBK" w:cs="Times New Roman"/>
          <w:color w:val="000000" w:themeColor="text1"/>
          <w:spacing w:val="-20"/>
          <w:sz w:val="32"/>
          <w:szCs w:val="32"/>
        </w:rPr>
      </w:pPr>
      <w:r>
        <w:rPr>
          <w:rFonts w:ascii="Times New Roman" w:hAnsi="Times New Roman" w:eastAsia="方正仿宋_GBK" w:cs="Times New Roman"/>
          <w:color w:val="000000" w:themeColor="text1"/>
          <w:sz w:val="32"/>
          <w:szCs w:val="32"/>
        </w:rPr>
        <w:t>附件：</w:t>
      </w:r>
      <w:r>
        <w:rPr>
          <w:rFonts w:ascii="Times New Roman" w:hAnsi="Times New Roman" w:eastAsia="方正仿宋_GBK" w:cs="Times New Roman"/>
          <w:color w:val="000000" w:themeColor="text1"/>
          <w:spacing w:val="-20"/>
          <w:sz w:val="32"/>
          <w:szCs w:val="32"/>
        </w:rPr>
        <w:t>永川区2022年校外教育培训机构《白名单》（第</w:t>
      </w:r>
      <w:r>
        <w:rPr>
          <w:rFonts w:hint="eastAsia" w:ascii="Times New Roman" w:hAnsi="Times New Roman" w:eastAsia="方正仿宋_GBK" w:cs="Times New Roman"/>
          <w:color w:val="000000" w:themeColor="text1"/>
          <w:spacing w:val="-20"/>
          <w:sz w:val="32"/>
          <w:szCs w:val="32"/>
          <w:lang w:val="en-US" w:eastAsia="zh-CN"/>
        </w:rPr>
        <w:t>三</w:t>
      </w:r>
      <w:r>
        <w:rPr>
          <w:rFonts w:ascii="Times New Roman" w:hAnsi="Times New Roman" w:eastAsia="方正仿宋_GBK" w:cs="Times New Roman"/>
          <w:color w:val="000000" w:themeColor="text1"/>
          <w:spacing w:val="-20"/>
          <w:sz w:val="32"/>
          <w:szCs w:val="32"/>
        </w:rPr>
        <w:t>批）</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160" w:firstLineChars="1300"/>
        <w:textAlignment w:val="auto"/>
        <w:rPr>
          <w:rFonts w:ascii="Times New Roman" w:hAnsi="Times New Roman" w:eastAsia="方正仿宋_GBK" w:cs="Times New Roman"/>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160" w:firstLineChars="1300"/>
        <w:textAlignment w:val="auto"/>
        <w:rPr>
          <w:rFonts w:ascii="Times New Roman" w:hAnsi="Times New Roman" w:eastAsia="方正仿宋_GBK" w:cs="Times New Roman"/>
          <w:color w:val="000000" w:themeColor="text1"/>
          <w:sz w:val="32"/>
          <w:szCs w:val="32"/>
        </w:rPr>
      </w:pP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4160" w:firstLineChars="13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重庆市永川区教育委员会</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 xml:space="preserve">                             2022年</w:t>
      </w:r>
      <w:r>
        <w:rPr>
          <w:rFonts w:hint="eastAsia" w:ascii="Times New Roman" w:hAnsi="Times New Roman" w:eastAsia="方正仿宋_GBK" w:cs="Times New Roman"/>
          <w:color w:val="000000" w:themeColor="text1"/>
          <w:sz w:val="32"/>
          <w:szCs w:val="32"/>
          <w:lang w:val="en-US" w:eastAsia="zh-CN"/>
        </w:rPr>
        <w:t>7</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lang w:val="en-US" w:eastAsia="zh-CN"/>
        </w:rPr>
        <w:t>10</w:t>
      </w:r>
      <w:r>
        <w:rPr>
          <w:rFonts w:ascii="Times New Roman" w:hAnsi="Times New Roman" w:eastAsia="方正仿宋_GBK" w:cs="Times New Roman"/>
          <w:color w:val="000000" w:themeColor="text1"/>
          <w:sz w:val="32"/>
          <w:szCs w:val="32"/>
        </w:rPr>
        <w:t>日</w:t>
      </w: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tbl>
      <w:tblPr>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2"/>
        <w:gridCol w:w="1080"/>
        <w:gridCol w:w="1128"/>
        <w:gridCol w:w="2041"/>
        <w:gridCol w:w="522"/>
        <w:gridCol w:w="1294"/>
        <w:gridCol w:w="581"/>
        <w:gridCol w:w="522"/>
        <w:gridCol w:w="1133"/>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42" w:type="dxa"/>
            <w:tcBorders>
              <w:top w:val="nil"/>
              <w:left w:val="nil"/>
              <w:bottom w:val="nil"/>
              <w:right w:val="nil"/>
            </w:tcBorders>
            <w:shd w:val="clear"/>
            <w:noWrap/>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bdr w:val="none" w:color="auto" w:sz="0" w:space="0"/>
                <w:lang w:val="en-US" w:eastAsia="zh-CN" w:bidi="ar"/>
              </w:rPr>
              <w:t>附</w:t>
            </w:r>
            <w:bookmarkStart w:id="0" w:name="_GoBack"/>
            <w:bookmarkEnd w:id="0"/>
            <w:r>
              <w:rPr>
                <w:rFonts w:hint="eastAsia" w:ascii="方正黑体_GBK" w:hAnsi="方正黑体_GBK" w:eastAsia="方正黑体_GBK" w:cs="方正黑体_GBK"/>
                <w:i w:val="0"/>
                <w:color w:val="000000"/>
                <w:kern w:val="0"/>
                <w:sz w:val="32"/>
                <w:szCs w:val="32"/>
                <w:u w:val="none"/>
                <w:bdr w:val="none" w:color="auto" w:sz="0" w:space="0"/>
                <w:lang w:val="en-US" w:eastAsia="zh-CN" w:bidi="ar"/>
              </w:rPr>
              <w:t>件：</w:t>
            </w:r>
          </w:p>
        </w:tc>
        <w:tc>
          <w:tcPr>
            <w:tcW w:w="1080"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2041"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522" w:type="dxa"/>
            <w:tcBorders>
              <w:top w:val="nil"/>
              <w:left w:val="nil"/>
              <w:bottom w:val="nil"/>
              <w:right w:val="nil"/>
            </w:tcBorders>
            <w:shd w:val="clear"/>
            <w:vAlign w:val="center"/>
          </w:tcPr>
          <w:p>
            <w:pPr>
              <w:rPr>
                <w:rFonts w:hint="eastAsia" w:ascii="宋体" w:hAnsi="宋体" w:eastAsia="宋体" w:cs="宋体"/>
                <w:i w:val="0"/>
                <w:color w:val="000000"/>
                <w:sz w:val="22"/>
                <w:szCs w:val="22"/>
                <w:u w:val="none"/>
              </w:rPr>
            </w:pPr>
          </w:p>
        </w:tc>
        <w:tc>
          <w:tcPr>
            <w:tcW w:w="1294" w:type="dxa"/>
            <w:tcBorders>
              <w:top w:val="nil"/>
              <w:left w:val="nil"/>
              <w:bottom w:val="nil"/>
              <w:right w:val="nil"/>
            </w:tcBorders>
            <w:shd w:val="clear"/>
            <w:noWrap/>
            <w:vAlign w:val="center"/>
          </w:tcPr>
          <w:p>
            <w:pPr>
              <w:jc w:val="left"/>
              <w:rPr>
                <w:rFonts w:hint="eastAsia" w:ascii="宋体" w:hAnsi="宋体" w:eastAsia="宋体" w:cs="宋体"/>
                <w:i w:val="0"/>
                <w:color w:val="000000"/>
                <w:sz w:val="22"/>
                <w:szCs w:val="22"/>
                <w:u w:val="none"/>
              </w:rPr>
            </w:pPr>
          </w:p>
        </w:tc>
        <w:tc>
          <w:tcPr>
            <w:tcW w:w="581"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522" w:type="dxa"/>
            <w:tcBorders>
              <w:top w:val="nil"/>
              <w:left w:val="nil"/>
              <w:bottom w:val="nil"/>
              <w:right w:val="nil"/>
            </w:tcBorders>
            <w:shd w:val="clear" w:color="auto" w:fill="FFFFFF"/>
            <w:vAlign w:val="center"/>
          </w:tcPr>
          <w:p>
            <w:pPr>
              <w:jc w:val="left"/>
              <w:rPr>
                <w:rFonts w:hint="eastAsia" w:ascii="宋体" w:hAnsi="宋体" w:eastAsia="宋体" w:cs="宋体"/>
                <w:i w:val="0"/>
                <w:color w:val="000000"/>
                <w:sz w:val="22"/>
                <w:szCs w:val="22"/>
                <w:u w:val="none"/>
              </w:rPr>
            </w:pPr>
          </w:p>
        </w:tc>
        <w:tc>
          <w:tcPr>
            <w:tcW w:w="1133"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9955"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color w:val="000000"/>
                <w:sz w:val="48"/>
                <w:szCs w:val="48"/>
                <w:u w:val="none"/>
              </w:rPr>
            </w:pPr>
            <w:r>
              <w:rPr>
                <w:rFonts w:hint="eastAsia" w:ascii="方正大标宋简体" w:hAnsi="方正大标宋简体" w:eastAsia="方正大标宋简体" w:cs="方正大标宋简体"/>
                <w:i w:val="0"/>
                <w:color w:val="000000"/>
                <w:kern w:val="0"/>
                <w:sz w:val="48"/>
                <w:szCs w:val="48"/>
                <w:u w:val="none"/>
                <w:bdr w:val="none" w:color="auto" w:sz="0" w:space="0"/>
                <w:lang w:val="en-US" w:eastAsia="zh-CN" w:bidi="ar"/>
              </w:rPr>
              <w:t>2022年永川区校外培训机构复核审批情况登记表(第三批）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42"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2041"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522"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1294" w:type="dxa"/>
            <w:tcBorders>
              <w:top w:val="nil"/>
              <w:left w:val="nil"/>
              <w:bottom w:val="nil"/>
              <w:right w:val="nil"/>
            </w:tcBorders>
            <w:shd w:val="clear"/>
            <w:noWrap/>
            <w:vAlign w:val="center"/>
          </w:tcPr>
          <w:p>
            <w:pPr>
              <w:jc w:val="left"/>
              <w:rPr>
                <w:rFonts w:hint="eastAsia" w:ascii="宋体" w:hAnsi="宋体" w:eastAsia="宋体" w:cs="宋体"/>
                <w:i w:val="0"/>
                <w:color w:val="000000"/>
                <w:sz w:val="22"/>
                <w:szCs w:val="22"/>
                <w:u w:val="none"/>
              </w:rPr>
            </w:pPr>
          </w:p>
        </w:tc>
        <w:tc>
          <w:tcPr>
            <w:tcW w:w="581"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c>
          <w:tcPr>
            <w:tcW w:w="522"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1133" w:type="dxa"/>
            <w:tcBorders>
              <w:top w:val="nil"/>
              <w:left w:val="nil"/>
              <w:bottom w:val="nil"/>
              <w:right w:val="nil"/>
            </w:tcBorders>
            <w:shd w:val="clear"/>
            <w:noWrap/>
            <w:vAlign w:val="center"/>
          </w:tcPr>
          <w:p>
            <w:pPr>
              <w:rPr>
                <w:rFonts w:hint="eastAsia" w:ascii="宋体" w:hAnsi="宋体" w:eastAsia="宋体" w:cs="宋体"/>
                <w:i w:val="0"/>
                <w:color w:val="000000"/>
                <w:sz w:val="22"/>
                <w:szCs w:val="22"/>
                <w:u w:val="none"/>
              </w:rPr>
            </w:pPr>
          </w:p>
        </w:tc>
        <w:tc>
          <w:tcPr>
            <w:tcW w:w="612" w:type="dxa"/>
            <w:tcBorders>
              <w:top w:val="nil"/>
              <w:left w:val="nil"/>
              <w:bottom w:val="nil"/>
              <w:right w:val="nil"/>
            </w:tcBorders>
            <w:shd w:val="clear"/>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培训机构名称</w:t>
            </w: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办学许可证号</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学科</w:t>
            </w: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性质</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营利</w:t>
            </w: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性质</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学科鉴定通过内容</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举办人</w:t>
            </w:r>
          </w:p>
        </w:tc>
        <w:tc>
          <w:tcPr>
            <w:tcW w:w="5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法人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办学地址</w:t>
            </w:r>
          </w:p>
        </w:tc>
        <w:tc>
          <w:tcPr>
            <w:tcW w:w="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办学规模(人)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4"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重庆市永川区邱氏熙宥艺术培训有限公司一分公司</w:t>
            </w: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教民250011872200769号</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营利性</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美术、珠心算、编程、专注力、书法、跆拳道、中国舞、拉丁舞、街舞、声乐、古筝、口才</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邱星、刘成芳</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邱星</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人民南路66号2幢2-3附1至6号</w:t>
            </w:r>
          </w:p>
        </w:tc>
        <w:tc>
          <w:tcPr>
            <w:tcW w:w="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重庆市永川区源起麦禾艺术培训有限公司</w:t>
            </w: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教民250011872200779号</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营利性</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民族舞</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岑敏</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岑敏</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星光大道789号附1号2-36至39号</w:t>
            </w:r>
          </w:p>
        </w:tc>
        <w:tc>
          <w:tcPr>
            <w:tcW w:w="6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重庆市永川区欣迪艺术培训有限公司</w:t>
            </w: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教民250011872200789号</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营利性</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美术、器乐、舞蹈、表演</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杨光连</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杨光连</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人民东路311号1幢2-2#</w:t>
            </w:r>
          </w:p>
        </w:tc>
        <w:tc>
          <w:tcPr>
            <w:tcW w:w="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重庆市永川区草木人艺术培训有限公司</w:t>
            </w: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教民250011872200799号</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营利性</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书法</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王伟</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王伟</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红河大道1号</w:t>
            </w:r>
          </w:p>
        </w:tc>
        <w:tc>
          <w:tcPr>
            <w:tcW w:w="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重庆市永川区立新艺术培训有限公司</w:t>
            </w: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教民250011872200809号</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营利性</w:t>
            </w:r>
          </w:p>
        </w:tc>
        <w:tc>
          <w:tcPr>
            <w:tcW w:w="12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美术、书法、速记、音乐、舞蹈</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向红梅</w:t>
            </w:r>
          </w:p>
        </w:tc>
        <w:tc>
          <w:tcPr>
            <w:tcW w:w="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向红梅</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胜利路187号附3号2-3</w:t>
            </w:r>
          </w:p>
        </w:tc>
        <w:tc>
          <w:tcPr>
            <w:tcW w:w="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100</w:t>
            </w:r>
          </w:p>
        </w:tc>
      </w:tr>
    </w:tbl>
    <w:p>
      <w:pPr>
        <w:keepNext w:val="0"/>
        <w:keepLines w:val="0"/>
        <w:pageBreakBefore w:val="0"/>
        <w:kinsoku/>
        <w:wordWrap/>
        <w:overflowPunct/>
        <w:topLinePunct w:val="0"/>
        <w:autoSpaceDE/>
        <w:autoSpaceDN/>
        <w:bidi w:val="0"/>
        <w:spacing w:line="600" w:lineRule="exact"/>
        <w:textAlignment w:val="auto"/>
      </w:pPr>
    </w:p>
    <w:sectPr>
      <w:footerReference r:id="rId3" w:type="default"/>
      <w:pgSz w:w="11906" w:h="16838"/>
      <w:pgMar w:top="1814" w:right="1701" w:bottom="181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8APhnrQBAABUAwAADgAAAAAAAAABACAAAAA0AQAAZHJzL2Uyb0Rv&#10;Yy54bWxQSwUGAAAAAAYABgBZAQAAWgUAAAAA&#10;">
              <v:fill on="f" focussize="0,0"/>
              <v:stroke on="f"/>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ZjhmOTdiMDEzZDkyNjJhMzE0MzQxZmY2ODExYTIifQ=="/>
  </w:docVars>
  <w:rsids>
    <w:rsidRoot w:val="00DF475B"/>
    <w:rsid w:val="000F1F74"/>
    <w:rsid w:val="001E16E4"/>
    <w:rsid w:val="002372D6"/>
    <w:rsid w:val="0026771A"/>
    <w:rsid w:val="00395AA6"/>
    <w:rsid w:val="003E29D8"/>
    <w:rsid w:val="0040031A"/>
    <w:rsid w:val="00507FE8"/>
    <w:rsid w:val="0054312A"/>
    <w:rsid w:val="005E68E8"/>
    <w:rsid w:val="00991F4E"/>
    <w:rsid w:val="00A046E7"/>
    <w:rsid w:val="00B45DF2"/>
    <w:rsid w:val="00B70C05"/>
    <w:rsid w:val="00CC1A4D"/>
    <w:rsid w:val="00D278DB"/>
    <w:rsid w:val="00DA7121"/>
    <w:rsid w:val="00DE1690"/>
    <w:rsid w:val="00DF475B"/>
    <w:rsid w:val="00E860DE"/>
    <w:rsid w:val="00E94C7F"/>
    <w:rsid w:val="00F60CE0"/>
    <w:rsid w:val="00FF6CBB"/>
    <w:rsid w:val="0F163C74"/>
    <w:rsid w:val="11E0391B"/>
    <w:rsid w:val="15DD69E6"/>
    <w:rsid w:val="2A945442"/>
    <w:rsid w:val="2B2679B8"/>
    <w:rsid w:val="387236E6"/>
    <w:rsid w:val="3C0D2E95"/>
    <w:rsid w:val="4E26253A"/>
    <w:rsid w:val="59BF4633"/>
    <w:rsid w:val="5FF551BD"/>
    <w:rsid w:val="6B517D59"/>
    <w:rsid w:val="73632169"/>
    <w:rsid w:val="74732A9E"/>
    <w:rsid w:val="7C4A4BFD"/>
    <w:rsid w:val="7EFB2480"/>
    <w:rsid w:val="FF7BA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qFormat/>
    <w:uiPriority w:val="99"/>
    <w:rPr>
      <w:rFonts w:ascii="Calibri" w:hAnsi="Calibri" w:eastAsia="宋体" w:cs="宋体"/>
      <w:sz w:val="18"/>
      <w:szCs w:val="18"/>
    </w:rPr>
  </w:style>
  <w:style w:type="character" w:customStyle="1" w:styleId="8">
    <w:name w:val="页脚 Char"/>
    <w:basedOn w:val="6"/>
    <w:link w:val="2"/>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336</Words>
  <Characters>360</Characters>
  <Lines>19</Lines>
  <Paragraphs>7</Paragraphs>
  <TotalTime>57</TotalTime>
  <ScaleCrop>false</ScaleCrop>
  <LinksUpToDate>false</LinksUpToDate>
  <CharactersWithSpaces>393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2022-01-25T14:52:00Z</dcterms:created>
  <dc:creator>Administrator</dc:creator>
  <cp:lastModifiedBy> </cp:lastModifiedBy>
  <dcterms:modified xsi:type="dcterms:W3CDTF">2023-10-07T17:18:59Z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D685A3FF207843D1B3DF5600FD31E77F</vt:lpwstr>
  </property>
</Properties>
</file>