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EE" w:rsidRPr="00C33340" w:rsidRDefault="000A35EB" w:rsidP="00B91DEE">
      <w:pPr>
        <w:rPr>
          <w:szCs w:val="32"/>
        </w:rPr>
      </w:pPr>
      <w:r>
        <w:rPr>
          <w:noProof/>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7.1pt;margin-top:103.8pt;width:428.05pt;height:59.55pt;z-index:251656192;mso-position-horizontal-relative:margin;mso-position-vertical-relative:margin" fillcolor="red" stroked="f" strokecolor="red">
            <v:textpath style="font-family:&quot;方正小标宋_GBK&quot;;font-weight:bold" trim="t" fitpath="t" string="重庆市永川区发展和改革委员会文件"/>
            <w10:wrap anchorx="margin" anchory="margin"/>
          </v:shape>
        </w:pict>
      </w:r>
    </w:p>
    <w:p w:rsidR="00B91DEE" w:rsidRPr="00C33340" w:rsidRDefault="00B91DEE" w:rsidP="00B91DEE">
      <w:pPr>
        <w:rPr>
          <w:szCs w:val="32"/>
        </w:rPr>
      </w:pPr>
    </w:p>
    <w:p w:rsidR="00B91DEE" w:rsidRPr="00C33340" w:rsidRDefault="00B91DEE" w:rsidP="00B91DEE">
      <w:pPr>
        <w:rPr>
          <w:szCs w:val="32"/>
        </w:rPr>
      </w:pPr>
    </w:p>
    <w:p w:rsidR="00B91DEE" w:rsidRPr="00C33340" w:rsidRDefault="00B91DEE" w:rsidP="00B91DEE">
      <w:pPr>
        <w:rPr>
          <w:szCs w:val="32"/>
        </w:rPr>
      </w:pPr>
    </w:p>
    <w:p w:rsidR="00B91DEE" w:rsidRPr="00C33340" w:rsidRDefault="00B91DEE" w:rsidP="00B91DEE">
      <w:pPr>
        <w:rPr>
          <w:szCs w:val="32"/>
        </w:rPr>
      </w:pPr>
    </w:p>
    <w:p w:rsidR="00B91DEE" w:rsidRPr="00C33340" w:rsidRDefault="00B91DEE" w:rsidP="00B91DEE">
      <w:pPr>
        <w:rPr>
          <w:szCs w:val="32"/>
        </w:rPr>
      </w:pPr>
    </w:p>
    <w:p w:rsidR="00B91DEE" w:rsidRPr="00C33340" w:rsidRDefault="00B91DEE" w:rsidP="00B91DEE">
      <w:pPr>
        <w:rPr>
          <w:szCs w:val="32"/>
        </w:rPr>
      </w:pPr>
    </w:p>
    <w:p w:rsidR="00B91DEE" w:rsidRPr="00C33340" w:rsidRDefault="00B91DEE" w:rsidP="00B91DEE">
      <w:pPr>
        <w:jc w:val="center"/>
        <w:rPr>
          <w:szCs w:val="32"/>
        </w:rPr>
      </w:pPr>
      <w:bookmarkStart w:id="0" w:name="doc_mark"/>
      <w:proofErr w:type="gramStart"/>
      <w:r w:rsidRPr="00C33340">
        <w:rPr>
          <w:szCs w:val="32"/>
        </w:rPr>
        <w:t>永发改委</w:t>
      </w:r>
      <w:proofErr w:type="gramEnd"/>
      <w:r w:rsidRPr="00C33340">
        <w:rPr>
          <w:szCs w:val="32"/>
        </w:rPr>
        <w:t>〔</w:t>
      </w:r>
      <w:r w:rsidRPr="00C33340">
        <w:rPr>
          <w:szCs w:val="32"/>
        </w:rPr>
        <w:t>202</w:t>
      </w:r>
      <w:r w:rsidR="00CD2116">
        <w:rPr>
          <w:rFonts w:hint="eastAsia"/>
          <w:szCs w:val="32"/>
        </w:rPr>
        <w:t>4</w:t>
      </w:r>
      <w:r w:rsidRPr="00C33340">
        <w:rPr>
          <w:szCs w:val="32"/>
        </w:rPr>
        <w:t>〕</w:t>
      </w:r>
      <w:r w:rsidR="00B24127">
        <w:rPr>
          <w:rFonts w:hint="eastAsia"/>
          <w:szCs w:val="32"/>
        </w:rPr>
        <w:t>2</w:t>
      </w:r>
      <w:r w:rsidR="00AF02AB">
        <w:rPr>
          <w:rFonts w:hint="eastAsia"/>
          <w:szCs w:val="32"/>
        </w:rPr>
        <w:t>1</w:t>
      </w:r>
      <w:r w:rsidRPr="00C33340">
        <w:rPr>
          <w:szCs w:val="32"/>
        </w:rPr>
        <w:t>号</w:t>
      </w:r>
      <w:bookmarkEnd w:id="0"/>
    </w:p>
    <w:p w:rsidR="00B91DEE" w:rsidRPr="00B04EB9" w:rsidRDefault="000A35EB" w:rsidP="00B91DEE">
      <w:pPr>
        <w:rPr>
          <w:szCs w:val="32"/>
        </w:rPr>
      </w:pPr>
      <w:r>
        <w:rPr>
          <w:szCs w:val="32"/>
        </w:rPr>
        <w:pict>
          <v:line id="_x0000_s2051" style="position:absolute;left:0;text-align:left;z-index:251657216;mso-position-horizontal-relative:page;mso-position-vertical-relative:page" from="76.55pt,338.05pt" to="518.75pt,338.05pt" strokecolor="red" strokeweight="1.75pt">
            <w10:wrap anchorx="page" anchory="page"/>
          </v:line>
        </w:pict>
      </w:r>
    </w:p>
    <w:p w:rsidR="005767CB" w:rsidRPr="00B04EB9" w:rsidRDefault="005767CB" w:rsidP="00AF02AB">
      <w:pPr>
        <w:rPr>
          <w:szCs w:val="32"/>
        </w:rPr>
      </w:pPr>
      <w:bookmarkStart w:id="1" w:name="Content"/>
      <w:bookmarkEnd w:id="1"/>
    </w:p>
    <w:p w:rsidR="005767CB" w:rsidRDefault="00CD742F" w:rsidP="00AF02AB">
      <w:pPr>
        <w:snapToGrid w:val="0"/>
        <w:spacing w:line="594" w:lineRule="exact"/>
        <w:jc w:val="center"/>
        <w:rPr>
          <w:rFonts w:ascii="方正小标宋_GBK" w:eastAsia="方正小标宋_GBK"/>
          <w:sz w:val="44"/>
          <w:szCs w:val="44"/>
        </w:rPr>
      </w:pPr>
      <w:r>
        <w:rPr>
          <w:rFonts w:ascii="方正小标宋_GBK" w:eastAsia="方正小标宋_GBK" w:hint="eastAsia"/>
          <w:sz w:val="44"/>
          <w:szCs w:val="44"/>
        </w:rPr>
        <w:t>重庆市永川区发展和改革委员会</w:t>
      </w:r>
    </w:p>
    <w:p w:rsidR="00AF02AB" w:rsidRDefault="00B24127" w:rsidP="00AF02AB">
      <w:pPr>
        <w:snapToGrid w:val="0"/>
        <w:spacing w:line="594" w:lineRule="exact"/>
        <w:jc w:val="center"/>
        <w:rPr>
          <w:rFonts w:ascii="方正小标宋_GBK" w:eastAsia="方正小标宋_GBK" w:hint="eastAsia"/>
          <w:sz w:val="44"/>
          <w:szCs w:val="44"/>
        </w:rPr>
      </w:pPr>
      <w:r w:rsidRPr="00B24127">
        <w:rPr>
          <w:rFonts w:ascii="方正小标宋_GBK" w:eastAsia="方正小标宋_GBK"/>
          <w:sz w:val="44"/>
          <w:szCs w:val="44"/>
        </w:rPr>
        <w:t>关</w:t>
      </w:r>
      <w:r w:rsidR="00AF02AB" w:rsidRPr="00AF02AB">
        <w:rPr>
          <w:rFonts w:ascii="方正小标宋_GBK" w:eastAsia="方正小标宋_GBK" w:hint="eastAsia"/>
          <w:sz w:val="44"/>
          <w:szCs w:val="44"/>
        </w:rPr>
        <w:t>于</w:t>
      </w:r>
      <w:bookmarkStart w:id="2" w:name="_Hlk156467871"/>
      <w:r w:rsidR="00AF02AB" w:rsidRPr="00AF02AB">
        <w:rPr>
          <w:rFonts w:ascii="方正小标宋_GBK" w:eastAsia="方正小标宋_GBK" w:hint="eastAsia"/>
          <w:sz w:val="44"/>
          <w:szCs w:val="44"/>
        </w:rPr>
        <w:t>重庆豪斯特热成形、电池壳体等</w:t>
      </w:r>
    </w:p>
    <w:p w:rsidR="005767CB" w:rsidRPr="00CD2116" w:rsidRDefault="00AF02AB" w:rsidP="00AF02AB">
      <w:pPr>
        <w:snapToGrid w:val="0"/>
        <w:spacing w:line="594" w:lineRule="exact"/>
        <w:jc w:val="center"/>
        <w:rPr>
          <w:rFonts w:ascii="方正小标宋_GBK" w:eastAsia="方正小标宋_GBK"/>
          <w:sz w:val="44"/>
          <w:szCs w:val="44"/>
        </w:rPr>
      </w:pPr>
      <w:r w:rsidRPr="00AF02AB">
        <w:rPr>
          <w:rFonts w:ascii="方正小标宋_GBK" w:eastAsia="方正小标宋_GBK" w:hint="eastAsia"/>
          <w:sz w:val="44"/>
          <w:szCs w:val="44"/>
        </w:rPr>
        <w:t>汽车零部件生产项目</w:t>
      </w:r>
      <w:bookmarkEnd w:id="2"/>
      <w:r w:rsidRPr="00AF02AB">
        <w:rPr>
          <w:rFonts w:ascii="方正小标宋_GBK" w:eastAsia="方正小标宋_GBK" w:hint="eastAsia"/>
          <w:sz w:val="44"/>
          <w:szCs w:val="44"/>
        </w:rPr>
        <w:t>的节能审查意见</w:t>
      </w:r>
    </w:p>
    <w:p w:rsidR="005767CB" w:rsidRPr="00B04EB9" w:rsidRDefault="005767CB" w:rsidP="00AF02AB">
      <w:pPr>
        <w:ind w:firstLineChars="200" w:firstLine="640"/>
      </w:pPr>
    </w:p>
    <w:p w:rsidR="00AF02AB" w:rsidRPr="00AF02AB" w:rsidRDefault="00AF02AB" w:rsidP="00AF02AB">
      <w:pPr>
        <w:rPr>
          <w:szCs w:val="32"/>
        </w:rPr>
      </w:pPr>
      <w:r w:rsidRPr="00AF02AB">
        <w:rPr>
          <w:rFonts w:hint="eastAsia"/>
          <w:szCs w:val="32"/>
        </w:rPr>
        <w:t>重庆豪斯特新能源有限公司：</w:t>
      </w:r>
    </w:p>
    <w:p w:rsidR="00AF02AB" w:rsidRPr="00AF02AB" w:rsidRDefault="00AF02AB" w:rsidP="00AF02AB">
      <w:pPr>
        <w:ind w:firstLineChars="200" w:firstLine="640"/>
        <w:rPr>
          <w:szCs w:val="32"/>
        </w:rPr>
      </w:pPr>
      <w:r w:rsidRPr="00AF02AB">
        <w:rPr>
          <w:rFonts w:hint="eastAsia"/>
          <w:szCs w:val="32"/>
        </w:rPr>
        <w:t>你单位《关于报请审查重庆豪斯特热成形、电池壳体等汽车零部件生产项目节能报告的请示》及有关材料收悉，按照《固定资产投资项目节能审查办法》（</w:t>
      </w:r>
      <w:proofErr w:type="gramStart"/>
      <w:r w:rsidRPr="00AF02AB">
        <w:rPr>
          <w:rFonts w:hint="eastAsia"/>
          <w:szCs w:val="32"/>
        </w:rPr>
        <w:t>国家发改委</w:t>
      </w:r>
      <w:proofErr w:type="gramEnd"/>
      <w:r w:rsidRPr="00AF02AB">
        <w:rPr>
          <w:rFonts w:hint="eastAsia"/>
          <w:szCs w:val="32"/>
        </w:rPr>
        <w:t>2023</w:t>
      </w:r>
      <w:r w:rsidRPr="00AF02AB">
        <w:rPr>
          <w:rFonts w:hint="eastAsia"/>
          <w:szCs w:val="32"/>
        </w:rPr>
        <w:t>年第</w:t>
      </w:r>
      <w:r w:rsidRPr="00AF02AB">
        <w:rPr>
          <w:rFonts w:hint="eastAsia"/>
          <w:szCs w:val="32"/>
        </w:rPr>
        <w:t>2</w:t>
      </w:r>
      <w:r w:rsidRPr="00AF02AB">
        <w:rPr>
          <w:rFonts w:hint="eastAsia"/>
          <w:szCs w:val="32"/>
        </w:rPr>
        <w:t>号令）、《重庆市固定资产投资项目节能审查实施办法》（</w:t>
      </w:r>
      <w:proofErr w:type="gramStart"/>
      <w:r w:rsidRPr="00AF02AB">
        <w:rPr>
          <w:rFonts w:hint="eastAsia"/>
          <w:szCs w:val="32"/>
        </w:rPr>
        <w:t>渝发改规范</w:t>
      </w:r>
      <w:proofErr w:type="gramEnd"/>
      <w:r w:rsidRPr="00AF02AB">
        <w:rPr>
          <w:rFonts w:hint="eastAsia"/>
          <w:szCs w:val="32"/>
        </w:rPr>
        <w:t>〔</w:t>
      </w:r>
      <w:r w:rsidRPr="00AF02AB">
        <w:rPr>
          <w:rFonts w:hint="eastAsia"/>
          <w:szCs w:val="32"/>
        </w:rPr>
        <w:t>2023</w:t>
      </w:r>
      <w:r w:rsidRPr="00AF02AB">
        <w:rPr>
          <w:rFonts w:hint="eastAsia"/>
          <w:szCs w:val="32"/>
        </w:rPr>
        <w:t>〕</w:t>
      </w:r>
      <w:r w:rsidRPr="00AF02AB">
        <w:rPr>
          <w:rFonts w:hint="eastAsia"/>
          <w:szCs w:val="32"/>
        </w:rPr>
        <w:t>4</w:t>
      </w:r>
      <w:r w:rsidRPr="00AF02AB">
        <w:rPr>
          <w:rFonts w:hint="eastAsia"/>
          <w:szCs w:val="32"/>
        </w:rPr>
        <w:t>号）要求，结合明科建设咨询有限公司对重庆豪斯特热成形、电池壳体等汽车零部件生产项目节能报告的评审意见，审查意见如下：</w:t>
      </w:r>
    </w:p>
    <w:p w:rsidR="00AF02AB" w:rsidRPr="00AF02AB" w:rsidRDefault="00AF02AB" w:rsidP="00AF02AB">
      <w:pPr>
        <w:ind w:firstLineChars="200" w:firstLine="640"/>
        <w:rPr>
          <w:szCs w:val="32"/>
        </w:rPr>
      </w:pPr>
      <w:r w:rsidRPr="00AF02AB">
        <w:rPr>
          <w:rFonts w:hint="eastAsia"/>
          <w:szCs w:val="32"/>
        </w:rPr>
        <w:lastRenderedPageBreak/>
        <w:t>一、原则同意项目（项目代码：</w:t>
      </w:r>
      <w:r w:rsidRPr="00AF02AB">
        <w:rPr>
          <w:rFonts w:hint="eastAsia"/>
          <w:szCs w:val="32"/>
        </w:rPr>
        <w:t>2302-500118-04-01-195217</w:t>
      </w:r>
      <w:r w:rsidRPr="00AF02AB">
        <w:rPr>
          <w:rFonts w:hint="eastAsia"/>
          <w:szCs w:val="32"/>
        </w:rPr>
        <w:t>）节能报告。</w:t>
      </w:r>
    </w:p>
    <w:p w:rsidR="00AF02AB" w:rsidRPr="00AF02AB" w:rsidRDefault="00AF02AB" w:rsidP="00AF02AB">
      <w:pPr>
        <w:ind w:firstLineChars="200" w:firstLine="640"/>
        <w:rPr>
          <w:szCs w:val="32"/>
        </w:rPr>
      </w:pPr>
      <w:r w:rsidRPr="00AF02AB">
        <w:rPr>
          <w:rFonts w:hint="eastAsia"/>
          <w:szCs w:val="32"/>
        </w:rPr>
        <w:t>二、项目主要产品为汽车零部件，项目单位产值综合能耗</w:t>
      </w:r>
      <w:r w:rsidRPr="00AF02AB">
        <w:rPr>
          <w:szCs w:val="32"/>
        </w:rPr>
        <w:t>0.05</w:t>
      </w:r>
      <w:r w:rsidRPr="00AF02AB">
        <w:rPr>
          <w:rFonts w:hint="eastAsia"/>
          <w:szCs w:val="32"/>
        </w:rPr>
        <w:t>tce/</w:t>
      </w:r>
      <w:r w:rsidRPr="00AF02AB">
        <w:rPr>
          <w:rFonts w:hint="eastAsia"/>
          <w:szCs w:val="32"/>
        </w:rPr>
        <w:t>万元，单位工业增加值能耗</w:t>
      </w:r>
      <w:r w:rsidRPr="00AF02AB">
        <w:rPr>
          <w:rFonts w:hint="eastAsia"/>
          <w:szCs w:val="32"/>
        </w:rPr>
        <w:t>0.34tce/</w:t>
      </w:r>
      <w:r w:rsidRPr="00AF02AB">
        <w:rPr>
          <w:rFonts w:hint="eastAsia"/>
          <w:szCs w:val="32"/>
        </w:rPr>
        <w:t>万元。</w:t>
      </w:r>
    </w:p>
    <w:p w:rsidR="00AF02AB" w:rsidRPr="00AF02AB" w:rsidRDefault="00AF02AB" w:rsidP="00AF02AB">
      <w:pPr>
        <w:ind w:firstLineChars="200" w:firstLine="640"/>
        <w:rPr>
          <w:szCs w:val="32"/>
        </w:rPr>
      </w:pPr>
      <w:r w:rsidRPr="00AF02AB">
        <w:rPr>
          <w:rFonts w:hint="eastAsia"/>
          <w:szCs w:val="32"/>
        </w:rPr>
        <w:t>三、项目年综合能源消费量</w:t>
      </w:r>
      <w:r w:rsidRPr="00AF02AB">
        <w:rPr>
          <w:szCs w:val="32"/>
        </w:rPr>
        <w:t>9096.66</w:t>
      </w:r>
      <w:r w:rsidRPr="00AF02AB">
        <w:rPr>
          <w:rFonts w:hint="eastAsia"/>
          <w:szCs w:val="32"/>
        </w:rPr>
        <w:t>吨标准煤（当量值）、</w:t>
      </w:r>
      <w:r w:rsidRPr="00AF02AB">
        <w:rPr>
          <w:szCs w:val="32"/>
        </w:rPr>
        <w:t>21719.75</w:t>
      </w:r>
      <w:r w:rsidRPr="00AF02AB">
        <w:rPr>
          <w:rFonts w:hint="eastAsia"/>
          <w:szCs w:val="32"/>
        </w:rPr>
        <w:t>吨标准煤（等价值），其中：年耗电力</w:t>
      </w:r>
      <w:r w:rsidRPr="00AF02AB">
        <w:rPr>
          <w:szCs w:val="32"/>
        </w:rPr>
        <w:t>7067.80</w:t>
      </w:r>
      <w:r w:rsidRPr="00AF02AB">
        <w:rPr>
          <w:rFonts w:hint="eastAsia"/>
          <w:szCs w:val="32"/>
        </w:rPr>
        <w:t>万千瓦时，折合标准煤</w:t>
      </w:r>
      <w:r w:rsidRPr="00AF02AB">
        <w:rPr>
          <w:rFonts w:hint="eastAsia"/>
          <w:szCs w:val="32"/>
        </w:rPr>
        <w:t>8686.33</w:t>
      </w:r>
      <w:r w:rsidRPr="00AF02AB">
        <w:rPr>
          <w:rFonts w:hint="eastAsia"/>
          <w:szCs w:val="32"/>
        </w:rPr>
        <w:t>吨</w:t>
      </w:r>
      <w:bookmarkStart w:id="3" w:name="_Hlk99385977"/>
      <w:r w:rsidRPr="00AF02AB">
        <w:rPr>
          <w:rFonts w:hint="eastAsia"/>
          <w:szCs w:val="32"/>
        </w:rPr>
        <w:t>（当量值</w:t>
      </w:r>
      <w:bookmarkEnd w:id="3"/>
      <w:r w:rsidRPr="00AF02AB">
        <w:rPr>
          <w:rFonts w:hint="eastAsia"/>
          <w:szCs w:val="32"/>
        </w:rPr>
        <w:t>）</w:t>
      </w:r>
      <w:r w:rsidRPr="00AF02AB">
        <w:rPr>
          <w:rFonts w:hint="eastAsia"/>
          <w:szCs w:val="32"/>
        </w:rPr>
        <w:t xml:space="preserve">21309.42 </w:t>
      </w:r>
      <w:r w:rsidRPr="00AF02AB">
        <w:rPr>
          <w:rFonts w:hint="eastAsia"/>
          <w:szCs w:val="32"/>
        </w:rPr>
        <w:t>吨</w:t>
      </w:r>
      <w:bookmarkStart w:id="4" w:name="_Hlk99385987"/>
      <w:r w:rsidRPr="00AF02AB">
        <w:rPr>
          <w:rFonts w:hint="eastAsia"/>
          <w:szCs w:val="32"/>
        </w:rPr>
        <w:t>（等价值</w:t>
      </w:r>
      <w:bookmarkEnd w:id="4"/>
      <w:r w:rsidRPr="00AF02AB">
        <w:rPr>
          <w:rFonts w:hint="eastAsia"/>
          <w:szCs w:val="32"/>
        </w:rPr>
        <w:t>）；年耗天然气</w:t>
      </w:r>
      <w:r w:rsidRPr="00AF02AB">
        <w:rPr>
          <w:szCs w:val="32"/>
        </w:rPr>
        <w:t>29.16</w:t>
      </w:r>
      <w:r w:rsidRPr="00AF02AB">
        <w:rPr>
          <w:rFonts w:hint="eastAsia"/>
          <w:szCs w:val="32"/>
        </w:rPr>
        <w:t>万立方米，折标煤约</w:t>
      </w:r>
      <w:r w:rsidRPr="00AF02AB">
        <w:rPr>
          <w:rFonts w:hint="eastAsia"/>
          <w:szCs w:val="32"/>
        </w:rPr>
        <w:t xml:space="preserve">354.29 </w:t>
      </w:r>
      <w:r w:rsidRPr="00AF02AB">
        <w:rPr>
          <w:rFonts w:hint="eastAsia"/>
          <w:szCs w:val="32"/>
        </w:rPr>
        <w:t>吨；年耗柴油</w:t>
      </w:r>
      <w:r w:rsidRPr="00AF02AB">
        <w:rPr>
          <w:szCs w:val="32"/>
        </w:rPr>
        <w:t>38.46</w:t>
      </w:r>
      <w:r w:rsidRPr="00AF02AB">
        <w:rPr>
          <w:rFonts w:hint="eastAsia"/>
          <w:szCs w:val="32"/>
        </w:rPr>
        <w:t>吨，折标煤约</w:t>
      </w:r>
      <w:r w:rsidRPr="00AF02AB">
        <w:rPr>
          <w:rFonts w:hint="eastAsia"/>
          <w:szCs w:val="32"/>
        </w:rPr>
        <w:t xml:space="preserve">56.04 </w:t>
      </w:r>
      <w:r w:rsidRPr="00AF02AB">
        <w:rPr>
          <w:rFonts w:hint="eastAsia"/>
          <w:szCs w:val="32"/>
        </w:rPr>
        <w:t>吨。项目对重庆市和永川区完成“十四五”期间单位地区生产总值能耗下降目标的影响程度为“影响较小”。</w:t>
      </w:r>
    </w:p>
    <w:p w:rsidR="00AF02AB" w:rsidRPr="00AF02AB" w:rsidRDefault="00AF02AB" w:rsidP="00AF02AB">
      <w:pPr>
        <w:ind w:firstLineChars="200" w:firstLine="640"/>
        <w:rPr>
          <w:szCs w:val="32"/>
        </w:rPr>
      </w:pPr>
      <w:r w:rsidRPr="00AF02AB">
        <w:rPr>
          <w:rFonts w:hint="eastAsia"/>
          <w:szCs w:val="32"/>
        </w:rPr>
        <w:t>四、项目法人在严格落实节能报告中各项节能措施基础上，应改进和加强以下节能工作：</w:t>
      </w:r>
    </w:p>
    <w:p w:rsidR="00AF02AB" w:rsidRPr="00AF02AB" w:rsidRDefault="00AF02AB" w:rsidP="00AF02AB">
      <w:pPr>
        <w:ind w:firstLineChars="200" w:firstLine="640"/>
        <w:rPr>
          <w:szCs w:val="32"/>
        </w:rPr>
      </w:pPr>
      <w:r w:rsidRPr="00AF02AB">
        <w:rPr>
          <w:rFonts w:hint="eastAsia"/>
          <w:szCs w:val="32"/>
        </w:rPr>
        <w:t>（一）优化用能工艺。在满足工艺技术要求的情况下，合理布置生产车间设备、工艺流程、科学划分生产区域，减少能源在输送、分配及主要生产工序等环节产生的过程消耗，提高能源利用效率。</w:t>
      </w:r>
    </w:p>
    <w:p w:rsidR="00AF02AB" w:rsidRPr="00AF02AB" w:rsidRDefault="00AF02AB" w:rsidP="00AF02AB">
      <w:pPr>
        <w:ind w:firstLineChars="200" w:firstLine="640"/>
        <w:rPr>
          <w:szCs w:val="32"/>
        </w:rPr>
      </w:pPr>
      <w:r w:rsidRPr="00AF02AB">
        <w:rPr>
          <w:rFonts w:hint="eastAsia"/>
          <w:szCs w:val="32"/>
        </w:rPr>
        <w:t>（二）选用高效节能设备。热压机、电机组、变压器等主要用能设备优先选用达到国家一级能效标准或国家节能技术产品推广目录中的产品和设备，不得采用国家明令禁止和淘汰的用能产品和设备。</w:t>
      </w:r>
    </w:p>
    <w:p w:rsidR="00AF02AB" w:rsidRPr="00AF02AB" w:rsidRDefault="00AF02AB" w:rsidP="00AF02AB">
      <w:pPr>
        <w:ind w:firstLineChars="200" w:firstLine="640"/>
        <w:rPr>
          <w:szCs w:val="32"/>
        </w:rPr>
      </w:pPr>
      <w:r w:rsidRPr="00AF02AB">
        <w:rPr>
          <w:rFonts w:hint="eastAsia"/>
          <w:szCs w:val="32"/>
        </w:rPr>
        <w:t>（三）切实加强节能管理。根据《能源管理体系要求及使用指南》（</w:t>
      </w:r>
      <w:r w:rsidRPr="00AF02AB">
        <w:rPr>
          <w:rFonts w:hint="eastAsia"/>
          <w:szCs w:val="32"/>
        </w:rPr>
        <w:t>GB/T23331</w:t>
      </w:r>
      <w:r w:rsidRPr="00AF02AB">
        <w:rPr>
          <w:rFonts w:hint="eastAsia"/>
          <w:szCs w:val="32"/>
        </w:rPr>
        <w:t>）、《工业企业能源管理导则》（</w:t>
      </w:r>
      <w:r w:rsidRPr="00AF02AB">
        <w:rPr>
          <w:rFonts w:hint="eastAsia"/>
          <w:szCs w:val="32"/>
        </w:rPr>
        <w:t>GB/T15587</w:t>
      </w:r>
      <w:r w:rsidRPr="00AF02AB">
        <w:rPr>
          <w:rFonts w:hint="eastAsia"/>
          <w:szCs w:val="32"/>
        </w:rPr>
        <w:t>）</w:t>
      </w:r>
      <w:r w:rsidRPr="00AF02AB">
        <w:rPr>
          <w:rFonts w:hint="eastAsia"/>
          <w:szCs w:val="32"/>
        </w:rPr>
        <w:lastRenderedPageBreak/>
        <w:t>等，建立健全能源管理体系；根据《用能单位能源计量器具配备和管理通则》（</w:t>
      </w:r>
      <w:r w:rsidRPr="00AF02AB">
        <w:rPr>
          <w:rFonts w:hint="eastAsia"/>
          <w:szCs w:val="32"/>
        </w:rPr>
        <w:t>GB17167</w:t>
      </w:r>
      <w:r w:rsidRPr="00AF02AB">
        <w:rPr>
          <w:rFonts w:hint="eastAsia"/>
          <w:szCs w:val="32"/>
        </w:rPr>
        <w:t>）等标准规范，完善项目主要耗能设备计量仪表配置，提升能源计量监测水平，同时结合项目能源监控需求，进一步细化项目能源计量器具配备方案，做好能源统计与分析。</w:t>
      </w:r>
    </w:p>
    <w:p w:rsidR="00AF02AB" w:rsidRPr="00AF02AB" w:rsidRDefault="00AF02AB" w:rsidP="00AF02AB">
      <w:pPr>
        <w:ind w:firstLineChars="200" w:firstLine="640"/>
        <w:rPr>
          <w:szCs w:val="32"/>
        </w:rPr>
      </w:pPr>
      <w:r w:rsidRPr="00AF02AB">
        <w:rPr>
          <w:rFonts w:hint="eastAsia"/>
          <w:szCs w:val="32"/>
        </w:rPr>
        <w:t>（四）按要求开展节能验收。项目投入生产、使用前，项目法人应组织节能专家或委托有关机构进行验收，并及时向节能审查机关报送节能验收报告，作为监督检查的重要依据。</w:t>
      </w:r>
    </w:p>
    <w:p w:rsidR="00AF02AB" w:rsidRPr="00AF02AB" w:rsidRDefault="00AF02AB" w:rsidP="00AF02AB">
      <w:pPr>
        <w:ind w:firstLineChars="200" w:firstLine="640"/>
        <w:rPr>
          <w:szCs w:val="32"/>
        </w:rPr>
      </w:pPr>
      <w:r w:rsidRPr="00AF02AB">
        <w:rPr>
          <w:rFonts w:hint="eastAsia"/>
          <w:szCs w:val="32"/>
        </w:rPr>
        <w:t>五、区级节能主管部门将对项目节能审查意见落实情况，适时组织监督调查，对落实不到位的将按有关规定严肃处理。</w:t>
      </w:r>
    </w:p>
    <w:p w:rsidR="00AF02AB" w:rsidRPr="00AF02AB" w:rsidRDefault="00AF02AB" w:rsidP="00AF02AB">
      <w:pPr>
        <w:ind w:firstLineChars="200" w:firstLine="640"/>
        <w:rPr>
          <w:szCs w:val="32"/>
        </w:rPr>
      </w:pPr>
      <w:r w:rsidRPr="00AF02AB">
        <w:rPr>
          <w:rFonts w:hint="eastAsia"/>
          <w:szCs w:val="32"/>
        </w:rPr>
        <w:t>六、通过节能审查的固定资产投资项目，建设地点、建设内容、建设规模、能效水平等发生重大变动的，或年实际综合能源消费量超过节能审查批复水平</w:t>
      </w:r>
      <w:r w:rsidRPr="00AF02AB">
        <w:rPr>
          <w:rFonts w:hint="eastAsia"/>
          <w:szCs w:val="32"/>
        </w:rPr>
        <w:t>10%</w:t>
      </w:r>
      <w:r w:rsidRPr="00AF02AB">
        <w:rPr>
          <w:rFonts w:hint="eastAsia"/>
          <w:szCs w:val="32"/>
        </w:rPr>
        <w:t>及以上的，建设单位应向原节能审查机关提交变更申请。</w:t>
      </w:r>
    </w:p>
    <w:p w:rsidR="00AF02AB" w:rsidRPr="00AF02AB" w:rsidRDefault="00AF02AB" w:rsidP="00AF02AB">
      <w:pPr>
        <w:ind w:firstLineChars="200" w:firstLine="640"/>
        <w:rPr>
          <w:szCs w:val="32"/>
        </w:rPr>
      </w:pPr>
      <w:r w:rsidRPr="00AF02AB">
        <w:rPr>
          <w:rFonts w:hint="eastAsia"/>
          <w:szCs w:val="32"/>
        </w:rPr>
        <w:t>七、本审查意见不对项目用能节能以外事项进行审查，除法律法规另有规定外，不作为履行其他审查手续的依据或前置条件。</w:t>
      </w:r>
    </w:p>
    <w:p w:rsidR="00AF02AB" w:rsidRPr="00AF02AB" w:rsidRDefault="00AF02AB" w:rsidP="00AF02AB">
      <w:pPr>
        <w:ind w:firstLineChars="200" w:firstLine="640"/>
        <w:rPr>
          <w:szCs w:val="32"/>
        </w:rPr>
      </w:pPr>
      <w:r w:rsidRPr="00AF02AB">
        <w:rPr>
          <w:rFonts w:hint="eastAsia"/>
          <w:szCs w:val="32"/>
        </w:rPr>
        <w:t>八、本审查意见自印发之日起</w:t>
      </w:r>
      <w:r w:rsidRPr="00AF02AB">
        <w:rPr>
          <w:rFonts w:hint="eastAsia"/>
          <w:szCs w:val="32"/>
        </w:rPr>
        <w:t>2</w:t>
      </w:r>
      <w:r w:rsidRPr="00AF02AB">
        <w:rPr>
          <w:rFonts w:hint="eastAsia"/>
          <w:szCs w:val="32"/>
        </w:rPr>
        <w:t>年内有效。</w:t>
      </w:r>
    </w:p>
    <w:p w:rsidR="00B24127" w:rsidRDefault="00B24127" w:rsidP="00AF02AB">
      <w:pPr>
        <w:ind w:firstLineChars="200" w:firstLine="640"/>
        <w:rPr>
          <w:rFonts w:hint="eastAsia"/>
          <w:szCs w:val="32"/>
        </w:rPr>
      </w:pPr>
    </w:p>
    <w:p w:rsidR="00AF02AB" w:rsidRPr="00AF02AB" w:rsidRDefault="00AF02AB" w:rsidP="00AF02AB">
      <w:pPr>
        <w:ind w:firstLineChars="200" w:firstLine="640"/>
        <w:rPr>
          <w:szCs w:val="32"/>
        </w:rPr>
      </w:pPr>
    </w:p>
    <w:p w:rsidR="00B24127" w:rsidRDefault="00B24127" w:rsidP="00AF02AB">
      <w:pPr>
        <w:ind w:firstLineChars="930" w:firstLine="2976"/>
        <w:jc w:val="center"/>
        <w:rPr>
          <w:szCs w:val="32"/>
        </w:rPr>
      </w:pPr>
      <w:r>
        <w:rPr>
          <w:szCs w:val="32"/>
        </w:rPr>
        <w:t>重庆市永川区发展和改革委员会</w:t>
      </w:r>
    </w:p>
    <w:p w:rsidR="00333ED0" w:rsidRPr="00B24127" w:rsidRDefault="00B24127" w:rsidP="00AF02AB">
      <w:pPr>
        <w:ind w:firstLineChars="930" w:firstLine="2976"/>
        <w:jc w:val="center"/>
        <w:rPr>
          <w:szCs w:val="32"/>
        </w:rPr>
      </w:pPr>
      <w:r>
        <w:rPr>
          <w:szCs w:val="32"/>
        </w:rPr>
        <w:t>2024</w:t>
      </w:r>
      <w:r>
        <w:rPr>
          <w:szCs w:val="32"/>
        </w:rPr>
        <w:t>年</w:t>
      </w:r>
      <w:r>
        <w:rPr>
          <w:szCs w:val="32"/>
        </w:rPr>
        <w:t>3</w:t>
      </w:r>
      <w:r>
        <w:rPr>
          <w:szCs w:val="32"/>
        </w:rPr>
        <w:t>月</w:t>
      </w:r>
      <w:r>
        <w:rPr>
          <w:szCs w:val="32"/>
        </w:rPr>
        <w:t>2</w:t>
      </w:r>
      <w:r w:rsidR="00AF02AB">
        <w:rPr>
          <w:rFonts w:hint="eastAsia"/>
          <w:szCs w:val="32"/>
        </w:rPr>
        <w:t>5</w:t>
      </w:r>
      <w:r>
        <w:rPr>
          <w:szCs w:val="32"/>
        </w:rPr>
        <w:t>日</w:t>
      </w:r>
    </w:p>
    <w:p w:rsidR="00333ED0" w:rsidRPr="00B24127" w:rsidRDefault="00B24127" w:rsidP="00AF02AB">
      <w:pPr>
        <w:ind w:firstLineChars="200" w:firstLine="640"/>
        <w:rPr>
          <w:szCs w:val="32"/>
        </w:rPr>
      </w:pPr>
      <w:r w:rsidRPr="00B24127">
        <w:rPr>
          <w:szCs w:val="32"/>
        </w:rPr>
        <w:t>（</w:t>
      </w:r>
      <w:r w:rsidRPr="00B24127">
        <w:rPr>
          <w:rFonts w:hint="eastAsia"/>
          <w:szCs w:val="32"/>
        </w:rPr>
        <w:t>此</w:t>
      </w:r>
      <w:r w:rsidRPr="00B24127">
        <w:rPr>
          <w:szCs w:val="32"/>
        </w:rPr>
        <w:t>件公开</w:t>
      </w:r>
      <w:r w:rsidR="00AF02AB">
        <w:rPr>
          <w:szCs w:val="32"/>
        </w:rPr>
        <w:t>发布</w:t>
      </w:r>
      <w:r w:rsidRPr="00B24127">
        <w:rPr>
          <w:szCs w:val="32"/>
        </w:rPr>
        <w:t>）</w:t>
      </w:r>
    </w:p>
    <w:p w:rsidR="00333ED0" w:rsidRPr="00B24127" w:rsidRDefault="00333ED0" w:rsidP="004F4AF0">
      <w:pPr>
        <w:ind w:firstLineChars="200" w:firstLine="640"/>
        <w:rPr>
          <w:szCs w:val="32"/>
        </w:rPr>
      </w:pPr>
    </w:p>
    <w:p w:rsidR="00333ED0" w:rsidRPr="00B24127" w:rsidRDefault="00333ED0" w:rsidP="004F4AF0">
      <w:pPr>
        <w:ind w:firstLineChars="200" w:firstLine="640"/>
        <w:rPr>
          <w:szCs w:val="32"/>
        </w:rPr>
      </w:pPr>
    </w:p>
    <w:p w:rsidR="00333ED0" w:rsidRPr="00B24127" w:rsidRDefault="00333ED0" w:rsidP="004F4AF0">
      <w:pPr>
        <w:ind w:firstLineChars="200" w:firstLine="640"/>
        <w:rPr>
          <w:szCs w:val="32"/>
        </w:rPr>
      </w:pPr>
    </w:p>
    <w:p w:rsidR="00333ED0" w:rsidRDefault="00333ED0"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rFonts w:hint="eastAsia"/>
          <w:szCs w:val="32"/>
        </w:rPr>
      </w:pPr>
    </w:p>
    <w:p w:rsidR="00AF02AB" w:rsidRDefault="00AF02AB" w:rsidP="004F4AF0">
      <w:pPr>
        <w:ind w:firstLineChars="200" w:firstLine="640"/>
        <w:rPr>
          <w:rFonts w:hint="eastAsia"/>
          <w:szCs w:val="32"/>
        </w:rPr>
      </w:pPr>
    </w:p>
    <w:p w:rsidR="00AF02AB" w:rsidRDefault="00AF02AB" w:rsidP="004F4AF0">
      <w:pPr>
        <w:ind w:firstLineChars="200" w:firstLine="640"/>
        <w:rPr>
          <w:rFonts w:hint="eastAsia"/>
          <w:szCs w:val="32"/>
        </w:rPr>
      </w:pPr>
    </w:p>
    <w:p w:rsidR="00AF02AB" w:rsidRDefault="00AF02AB" w:rsidP="004F4AF0">
      <w:pPr>
        <w:ind w:firstLineChars="200" w:firstLine="640"/>
        <w:rPr>
          <w:rFonts w:hint="eastAsia"/>
          <w:szCs w:val="32"/>
        </w:rPr>
      </w:pPr>
    </w:p>
    <w:p w:rsidR="00AF02AB" w:rsidRDefault="00AF02AB" w:rsidP="004F4AF0">
      <w:pPr>
        <w:ind w:firstLineChars="200" w:firstLine="640"/>
        <w:rPr>
          <w:rFonts w:hint="eastAsia"/>
          <w:szCs w:val="32"/>
        </w:rPr>
      </w:pPr>
    </w:p>
    <w:p w:rsidR="00AF02AB" w:rsidRDefault="00AF02AB" w:rsidP="004F4AF0">
      <w:pPr>
        <w:ind w:firstLineChars="200" w:firstLine="640"/>
        <w:rPr>
          <w:rFonts w:hint="eastAsia"/>
          <w:szCs w:val="32"/>
        </w:rPr>
      </w:pPr>
    </w:p>
    <w:p w:rsidR="00AF02AB" w:rsidRDefault="00AF02AB"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szCs w:val="32"/>
        </w:rPr>
      </w:pPr>
    </w:p>
    <w:p w:rsidR="004F4AF0" w:rsidRDefault="004F4AF0" w:rsidP="004F4AF0">
      <w:pPr>
        <w:ind w:firstLineChars="200" w:firstLine="640"/>
        <w:rPr>
          <w:szCs w:val="32"/>
        </w:rPr>
      </w:pPr>
    </w:p>
    <w:p w:rsidR="004F4AF0" w:rsidRPr="00B24127" w:rsidRDefault="004F4AF0" w:rsidP="004F4AF0">
      <w:pPr>
        <w:ind w:firstLineChars="200" w:firstLine="640"/>
        <w:rPr>
          <w:szCs w:val="32"/>
        </w:rPr>
      </w:pPr>
    </w:p>
    <w:p w:rsidR="003A1560" w:rsidRPr="00B24127" w:rsidRDefault="003A1560" w:rsidP="004F4AF0">
      <w:pPr>
        <w:ind w:firstLineChars="200" w:firstLine="640"/>
        <w:rPr>
          <w:szCs w:val="32"/>
        </w:rPr>
      </w:pPr>
    </w:p>
    <w:p w:rsidR="005767CB" w:rsidRDefault="000A35EB" w:rsidP="004F4AF0">
      <w:pPr>
        <w:ind w:firstLineChars="100" w:firstLine="280"/>
        <w:rPr>
          <w:sz w:val="28"/>
          <w:szCs w:val="28"/>
        </w:rPr>
      </w:pPr>
      <w:r>
        <w:rPr>
          <w:sz w:val="28"/>
          <w:szCs w:val="28"/>
        </w:rPr>
        <w:pict>
          <v:shapetype id="_x0000_t32" coordsize="21600,21600" o:spt="32" o:oned="t" path="m,l21600,21600e" filled="f">
            <v:path arrowok="t" fillok="f" o:connecttype="none"/>
            <o:lock v:ext="edit" shapetype="t"/>
          </v:shapetype>
          <v:shape id="_x0000_s2053" type="#_x0000_t32" style="position:absolute;left:0;text-align:left;margin-left:-.05pt;margin-top:.85pt;width:443.25pt;height:.75pt;z-index:251659264" o:connectortype="straight"/>
        </w:pict>
      </w:r>
      <w:r>
        <w:rPr>
          <w:sz w:val="28"/>
          <w:szCs w:val="28"/>
        </w:rPr>
        <w:pict>
          <v:shape id="_x0000_s2052" type="#_x0000_t32" style="position:absolute;left:0;text-align:left;margin-left:.7pt;margin-top:27.1pt;width:443.25pt;height:.75pt;z-index:251658240" o:connectortype="straight"/>
        </w:pict>
      </w:r>
      <w:r w:rsidR="003A1560" w:rsidRPr="004616F6">
        <w:rPr>
          <w:sz w:val="28"/>
          <w:szCs w:val="28"/>
        </w:rPr>
        <w:t>重庆市永川区发展和改革委员会办公室</w:t>
      </w:r>
      <w:r w:rsidR="003A1560" w:rsidRPr="004616F6">
        <w:rPr>
          <w:sz w:val="28"/>
          <w:szCs w:val="28"/>
        </w:rPr>
        <w:t xml:space="preserve">  </w:t>
      </w:r>
      <w:r w:rsidR="00CD2116">
        <w:rPr>
          <w:rFonts w:hint="eastAsia"/>
          <w:sz w:val="28"/>
          <w:szCs w:val="28"/>
        </w:rPr>
        <w:t xml:space="preserve"> </w:t>
      </w:r>
      <w:r w:rsidR="003A1560" w:rsidRPr="004616F6">
        <w:rPr>
          <w:sz w:val="28"/>
          <w:szCs w:val="28"/>
        </w:rPr>
        <w:t xml:space="preserve">  202</w:t>
      </w:r>
      <w:r w:rsidR="00CD2116">
        <w:rPr>
          <w:rFonts w:hint="eastAsia"/>
          <w:sz w:val="28"/>
          <w:szCs w:val="28"/>
        </w:rPr>
        <w:t>4</w:t>
      </w:r>
      <w:r w:rsidR="003A1560" w:rsidRPr="004616F6">
        <w:rPr>
          <w:sz w:val="28"/>
          <w:szCs w:val="28"/>
        </w:rPr>
        <w:t>年</w:t>
      </w:r>
      <w:r w:rsidR="00B24127">
        <w:rPr>
          <w:rFonts w:hint="eastAsia"/>
          <w:sz w:val="28"/>
          <w:szCs w:val="28"/>
        </w:rPr>
        <w:t>3</w:t>
      </w:r>
      <w:r w:rsidR="003A1560" w:rsidRPr="004616F6">
        <w:rPr>
          <w:sz w:val="28"/>
          <w:szCs w:val="28"/>
        </w:rPr>
        <w:t>月</w:t>
      </w:r>
      <w:r w:rsidR="00B04EB9">
        <w:rPr>
          <w:rFonts w:hint="eastAsia"/>
          <w:sz w:val="28"/>
          <w:szCs w:val="28"/>
        </w:rPr>
        <w:t>2</w:t>
      </w:r>
      <w:r w:rsidR="00AF02AB">
        <w:rPr>
          <w:rFonts w:hint="eastAsia"/>
          <w:sz w:val="28"/>
          <w:szCs w:val="28"/>
        </w:rPr>
        <w:t>5</w:t>
      </w:r>
      <w:r w:rsidR="003A1560" w:rsidRPr="004616F6">
        <w:rPr>
          <w:sz w:val="28"/>
          <w:szCs w:val="28"/>
        </w:rPr>
        <w:t>日印发</w:t>
      </w:r>
    </w:p>
    <w:p w:rsidR="003A1560" w:rsidRPr="003A1560" w:rsidRDefault="003A1560" w:rsidP="004F4AF0">
      <w:pPr>
        <w:ind w:firstLineChars="200" w:firstLine="640"/>
        <w:jc w:val="right"/>
      </w:pPr>
      <w:r w:rsidRPr="00143C93">
        <w:rPr>
          <w:rFonts w:hAnsi="方正仿宋_GBK"/>
        </w:rPr>
        <w:t>（</w:t>
      </w:r>
      <w:r>
        <w:rPr>
          <w:rFonts w:hAnsi="方正仿宋_GBK"/>
        </w:rPr>
        <w:t>共印</w:t>
      </w:r>
      <w:r w:rsidR="00AF02AB">
        <w:rPr>
          <w:rFonts w:hAnsi="方正仿宋_GBK" w:hint="eastAsia"/>
        </w:rPr>
        <w:t>3</w:t>
      </w:r>
      <w:r>
        <w:rPr>
          <w:rFonts w:hAnsi="方正仿宋_GBK" w:hint="eastAsia"/>
        </w:rPr>
        <w:t>份</w:t>
      </w:r>
      <w:r w:rsidRPr="00143C93">
        <w:rPr>
          <w:rFonts w:hAnsi="方正仿宋_GBK"/>
        </w:rPr>
        <w:t>）</w:t>
      </w:r>
    </w:p>
    <w:sectPr w:rsidR="003A1560" w:rsidRPr="003A1560" w:rsidSect="004F4AF0">
      <w:footerReference w:type="even" r:id="rId7"/>
      <w:footerReference w:type="default" r:id="rId8"/>
      <w:pgSz w:w="11906" w:h="16838" w:code="9"/>
      <w:pgMar w:top="2098" w:right="1531" w:bottom="1985" w:left="1531" w:header="851" w:footer="1474"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03" w:rsidRDefault="00013603" w:rsidP="005767CB">
      <w:r>
        <w:separator/>
      </w:r>
    </w:p>
  </w:endnote>
  <w:endnote w:type="continuationSeparator" w:id="0">
    <w:p w:rsidR="00013603" w:rsidRDefault="00013603" w:rsidP="0057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7C" w:rsidRDefault="000A35EB">
    <w:pPr>
      <w:pStyle w:val="a6"/>
    </w:pPr>
    <w:r>
      <w:rPr>
        <w:rFonts w:ascii="宋体" w:eastAsia="宋体" w:hAnsi="宋体"/>
        <w:sz w:val="28"/>
        <w:szCs w:val="28"/>
      </w:rPr>
      <w:fldChar w:fldCharType="begin"/>
    </w:r>
    <w:r w:rsidR="00CD742F">
      <w:rPr>
        <w:rFonts w:ascii="宋体" w:eastAsia="宋体" w:hAnsi="宋体"/>
        <w:sz w:val="28"/>
        <w:szCs w:val="28"/>
      </w:rPr>
      <w:instrText xml:space="preserve"> PAGE   \* MERGEFORMAT </w:instrText>
    </w:r>
    <w:r>
      <w:rPr>
        <w:rFonts w:ascii="宋体" w:eastAsia="宋体" w:hAnsi="宋体"/>
        <w:sz w:val="28"/>
        <w:szCs w:val="28"/>
      </w:rPr>
      <w:fldChar w:fldCharType="separate"/>
    </w:r>
    <w:r w:rsidR="00AF02AB" w:rsidRPr="00AF02AB">
      <w:rPr>
        <w:rFonts w:ascii="宋体" w:eastAsia="宋体" w:hAnsi="宋体"/>
        <w:noProof/>
        <w:sz w:val="28"/>
        <w:szCs w:val="28"/>
        <w:lang w:val="zh-CN"/>
      </w:rPr>
      <w:t>-</w:t>
    </w:r>
    <w:r w:rsidR="00AF02AB">
      <w:rPr>
        <w:rFonts w:ascii="宋体" w:eastAsia="宋体" w:hAnsi="宋体"/>
        <w:noProof/>
        <w:sz w:val="28"/>
        <w:szCs w:val="28"/>
      </w:rPr>
      <w:t xml:space="preserve"> 4 -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7C" w:rsidRDefault="000A35EB">
    <w:pPr>
      <w:pStyle w:val="a6"/>
      <w:jc w:val="right"/>
    </w:pPr>
    <w:r>
      <w:rPr>
        <w:rFonts w:ascii="宋体" w:eastAsia="宋体" w:hAnsi="宋体"/>
        <w:sz w:val="28"/>
        <w:szCs w:val="28"/>
      </w:rPr>
      <w:fldChar w:fldCharType="begin"/>
    </w:r>
    <w:r w:rsidR="00CD742F">
      <w:rPr>
        <w:rFonts w:ascii="宋体" w:eastAsia="宋体" w:hAnsi="宋体"/>
        <w:sz w:val="28"/>
        <w:szCs w:val="28"/>
      </w:rPr>
      <w:instrText xml:space="preserve"> PAGE   \* MERGEFORMAT </w:instrText>
    </w:r>
    <w:r>
      <w:rPr>
        <w:rFonts w:ascii="宋体" w:eastAsia="宋体" w:hAnsi="宋体"/>
        <w:sz w:val="28"/>
        <w:szCs w:val="28"/>
      </w:rPr>
      <w:fldChar w:fldCharType="separate"/>
    </w:r>
    <w:r w:rsidR="00AF02AB" w:rsidRPr="00AF02AB">
      <w:rPr>
        <w:rFonts w:ascii="宋体" w:eastAsia="宋体" w:hAnsi="宋体"/>
        <w:noProof/>
        <w:sz w:val="28"/>
        <w:szCs w:val="28"/>
        <w:lang w:val="zh-CN"/>
      </w:rPr>
      <w:t>-</w:t>
    </w:r>
    <w:r w:rsidR="00AF02AB">
      <w:rPr>
        <w:rFonts w:ascii="宋体" w:eastAsia="宋体" w:hAnsi="宋体"/>
        <w:noProof/>
        <w:sz w:val="28"/>
        <w:szCs w:val="28"/>
      </w:rPr>
      <w:t xml:space="preserve"> 3 -</w:t>
    </w:r>
    <w:r>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03" w:rsidRDefault="00013603" w:rsidP="005767CB">
      <w:r>
        <w:separator/>
      </w:r>
    </w:p>
  </w:footnote>
  <w:footnote w:type="continuationSeparator" w:id="0">
    <w:p w:rsidR="00013603" w:rsidRDefault="00013603" w:rsidP="00576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5"/>
  <w:evenAndOddHeaders/>
  <w:drawingGridHorizontalSpacing w:val="158"/>
  <w:drawingGridVerticalSpacing w:val="579"/>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NGFhZDJlMDNjMjVlZjIwOGI4ZGVjYjk1ZDI5MjQzNzAifQ=="/>
    <w:docVar w:name="KGWebUrl" w:val="http://oa.yc.gov:80/seeyon/officeservlet"/>
  </w:docVars>
  <w:rsids>
    <w:rsidRoot w:val="00CE3AB1"/>
    <w:rsid w:val="00000382"/>
    <w:rsid w:val="00003093"/>
    <w:rsid w:val="0000329F"/>
    <w:rsid w:val="00005AD6"/>
    <w:rsid w:val="00007FC6"/>
    <w:rsid w:val="000116DA"/>
    <w:rsid w:val="00013335"/>
    <w:rsid w:val="00013603"/>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3A"/>
    <w:rsid w:val="00071E64"/>
    <w:rsid w:val="000729F4"/>
    <w:rsid w:val="00072EEA"/>
    <w:rsid w:val="000749FB"/>
    <w:rsid w:val="000761F2"/>
    <w:rsid w:val="000767F3"/>
    <w:rsid w:val="00084781"/>
    <w:rsid w:val="000858A8"/>
    <w:rsid w:val="000901C2"/>
    <w:rsid w:val="00091529"/>
    <w:rsid w:val="0009670D"/>
    <w:rsid w:val="00096AB3"/>
    <w:rsid w:val="000A35EB"/>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189B"/>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4ABE"/>
    <w:rsid w:val="0015694C"/>
    <w:rsid w:val="00160E8A"/>
    <w:rsid w:val="00160F7A"/>
    <w:rsid w:val="00162C80"/>
    <w:rsid w:val="001644EB"/>
    <w:rsid w:val="00166911"/>
    <w:rsid w:val="00166EAB"/>
    <w:rsid w:val="00167EEC"/>
    <w:rsid w:val="00170182"/>
    <w:rsid w:val="00171FC6"/>
    <w:rsid w:val="00174F91"/>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5237"/>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B2A"/>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4B88"/>
    <w:rsid w:val="00226F12"/>
    <w:rsid w:val="0023028B"/>
    <w:rsid w:val="002316B7"/>
    <w:rsid w:val="00235010"/>
    <w:rsid w:val="00236D56"/>
    <w:rsid w:val="00237E75"/>
    <w:rsid w:val="002428FF"/>
    <w:rsid w:val="00242AFD"/>
    <w:rsid w:val="00245352"/>
    <w:rsid w:val="00245F32"/>
    <w:rsid w:val="0024772F"/>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85D27"/>
    <w:rsid w:val="00286DF8"/>
    <w:rsid w:val="00290500"/>
    <w:rsid w:val="0029229C"/>
    <w:rsid w:val="00292AD6"/>
    <w:rsid w:val="00294488"/>
    <w:rsid w:val="00294BD4"/>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C9"/>
    <w:rsid w:val="002D3AF1"/>
    <w:rsid w:val="002E1618"/>
    <w:rsid w:val="002E3E9F"/>
    <w:rsid w:val="002E5373"/>
    <w:rsid w:val="002E5E4E"/>
    <w:rsid w:val="002E792F"/>
    <w:rsid w:val="002F07E9"/>
    <w:rsid w:val="002F0EDC"/>
    <w:rsid w:val="002F1C37"/>
    <w:rsid w:val="002F5D79"/>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01E"/>
    <w:rsid w:val="00332A67"/>
    <w:rsid w:val="00333ED0"/>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1560"/>
    <w:rsid w:val="003A29DE"/>
    <w:rsid w:val="003A3CA9"/>
    <w:rsid w:val="003A4168"/>
    <w:rsid w:val="003A4D6C"/>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6B91"/>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14"/>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AF0"/>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1315"/>
    <w:rsid w:val="00572219"/>
    <w:rsid w:val="0057299E"/>
    <w:rsid w:val="005735B2"/>
    <w:rsid w:val="00575FE2"/>
    <w:rsid w:val="005767CB"/>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B7073"/>
    <w:rsid w:val="005C176B"/>
    <w:rsid w:val="005C31F3"/>
    <w:rsid w:val="005C361D"/>
    <w:rsid w:val="005C3DA5"/>
    <w:rsid w:val="005C5515"/>
    <w:rsid w:val="005C771F"/>
    <w:rsid w:val="005D06DD"/>
    <w:rsid w:val="005D621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E9F"/>
    <w:rsid w:val="00640FC0"/>
    <w:rsid w:val="00641C93"/>
    <w:rsid w:val="00642FD9"/>
    <w:rsid w:val="00643053"/>
    <w:rsid w:val="0064596F"/>
    <w:rsid w:val="006461FA"/>
    <w:rsid w:val="00646FA8"/>
    <w:rsid w:val="00647779"/>
    <w:rsid w:val="006507D1"/>
    <w:rsid w:val="00652324"/>
    <w:rsid w:val="006526DA"/>
    <w:rsid w:val="00653146"/>
    <w:rsid w:val="00655BFB"/>
    <w:rsid w:val="006568D4"/>
    <w:rsid w:val="0066022F"/>
    <w:rsid w:val="00660332"/>
    <w:rsid w:val="0066095C"/>
    <w:rsid w:val="00661494"/>
    <w:rsid w:val="00662C3F"/>
    <w:rsid w:val="00663278"/>
    <w:rsid w:val="006637B3"/>
    <w:rsid w:val="0066430E"/>
    <w:rsid w:val="00665338"/>
    <w:rsid w:val="0066777D"/>
    <w:rsid w:val="00667945"/>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11B"/>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4887"/>
    <w:rsid w:val="00875631"/>
    <w:rsid w:val="00875F96"/>
    <w:rsid w:val="008767A9"/>
    <w:rsid w:val="00876998"/>
    <w:rsid w:val="00876A75"/>
    <w:rsid w:val="0087741D"/>
    <w:rsid w:val="00882B46"/>
    <w:rsid w:val="00883F82"/>
    <w:rsid w:val="00885D0A"/>
    <w:rsid w:val="00891775"/>
    <w:rsid w:val="00891951"/>
    <w:rsid w:val="0089281F"/>
    <w:rsid w:val="0089368F"/>
    <w:rsid w:val="00894519"/>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D7805"/>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3975"/>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723"/>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63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0AA3"/>
    <w:rsid w:val="00A920A5"/>
    <w:rsid w:val="00A92905"/>
    <w:rsid w:val="00A93088"/>
    <w:rsid w:val="00A9318A"/>
    <w:rsid w:val="00A94393"/>
    <w:rsid w:val="00A95E83"/>
    <w:rsid w:val="00A961F2"/>
    <w:rsid w:val="00A9736E"/>
    <w:rsid w:val="00AA037D"/>
    <w:rsid w:val="00AA3A50"/>
    <w:rsid w:val="00AA3EC4"/>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2AB"/>
    <w:rsid w:val="00AF0302"/>
    <w:rsid w:val="00AF05BC"/>
    <w:rsid w:val="00AF1F6F"/>
    <w:rsid w:val="00AF241B"/>
    <w:rsid w:val="00AF3B5C"/>
    <w:rsid w:val="00AF4B25"/>
    <w:rsid w:val="00AF515F"/>
    <w:rsid w:val="00B005D1"/>
    <w:rsid w:val="00B010DC"/>
    <w:rsid w:val="00B04492"/>
    <w:rsid w:val="00B049F5"/>
    <w:rsid w:val="00B04EB9"/>
    <w:rsid w:val="00B05F49"/>
    <w:rsid w:val="00B1012C"/>
    <w:rsid w:val="00B1562F"/>
    <w:rsid w:val="00B15AFB"/>
    <w:rsid w:val="00B21660"/>
    <w:rsid w:val="00B21F0D"/>
    <w:rsid w:val="00B24127"/>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1DEE"/>
    <w:rsid w:val="00B93A30"/>
    <w:rsid w:val="00B947B8"/>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330"/>
    <w:rsid w:val="00BD585E"/>
    <w:rsid w:val="00BD5F66"/>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9AB"/>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5182"/>
    <w:rsid w:val="00C609E9"/>
    <w:rsid w:val="00C61B0B"/>
    <w:rsid w:val="00C61F68"/>
    <w:rsid w:val="00C62314"/>
    <w:rsid w:val="00C633D2"/>
    <w:rsid w:val="00C63AE6"/>
    <w:rsid w:val="00C700EA"/>
    <w:rsid w:val="00C74178"/>
    <w:rsid w:val="00C80577"/>
    <w:rsid w:val="00C81540"/>
    <w:rsid w:val="00C81BA6"/>
    <w:rsid w:val="00C820D0"/>
    <w:rsid w:val="00C836BB"/>
    <w:rsid w:val="00C86C66"/>
    <w:rsid w:val="00C90238"/>
    <w:rsid w:val="00C91605"/>
    <w:rsid w:val="00C92A4B"/>
    <w:rsid w:val="00C9346F"/>
    <w:rsid w:val="00C93652"/>
    <w:rsid w:val="00C94455"/>
    <w:rsid w:val="00C9497A"/>
    <w:rsid w:val="00C94C33"/>
    <w:rsid w:val="00C957C9"/>
    <w:rsid w:val="00C9630F"/>
    <w:rsid w:val="00C963C8"/>
    <w:rsid w:val="00CA031D"/>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A6A"/>
    <w:rsid w:val="00CC2B6F"/>
    <w:rsid w:val="00CC41B9"/>
    <w:rsid w:val="00CC6BF9"/>
    <w:rsid w:val="00CD05B6"/>
    <w:rsid w:val="00CD1289"/>
    <w:rsid w:val="00CD1563"/>
    <w:rsid w:val="00CD2116"/>
    <w:rsid w:val="00CD215C"/>
    <w:rsid w:val="00CD2B45"/>
    <w:rsid w:val="00CD30CA"/>
    <w:rsid w:val="00CD4451"/>
    <w:rsid w:val="00CD5423"/>
    <w:rsid w:val="00CD6589"/>
    <w:rsid w:val="00CD742F"/>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420E"/>
    <w:rsid w:val="00D852CF"/>
    <w:rsid w:val="00D856F4"/>
    <w:rsid w:val="00D856F8"/>
    <w:rsid w:val="00D87744"/>
    <w:rsid w:val="00D9153C"/>
    <w:rsid w:val="00D9277F"/>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1B1D"/>
    <w:rsid w:val="00DC5A62"/>
    <w:rsid w:val="00DC69E4"/>
    <w:rsid w:val="00DD19A5"/>
    <w:rsid w:val="00DD3D7D"/>
    <w:rsid w:val="00DD517B"/>
    <w:rsid w:val="00DD5BEF"/>
    <w:rsid w:val="00DD5EBE"/>
    <w:rsid w:val="00DE0422"/>
    <w:rsid w:val="00DE0530"/>
    <w:rsid w:val="00DE05A3"/>
    <w:rsid w:val="00DE0DF8"/>
    <w:rsid w:val="00DE37C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71A"/>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306"/>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1454"/>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32E"/>
    <w:rsid w:val="00F26537"/>
    <w:rsid w:val="00F27FB2"/>
    <w:rsid w:val="00F30799"/>
    <w:rsid w:val="00F32897"/>
    <w:rsid w:val="00F32D25"/>
    <w:rsid w:val="00F341A9"/>
    <w:rsid w:val="00F36B44"/>
    <w:rsid w:val="00F44932"/>
    <w:rsid w:val="00F451F9"/>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4DCE"/>
    <w:rsid w:val="00FE5C93"/>
    <w:rsid w:val="00FE5EF8"/>
    <w:rsid w:val="00FF4347"/>
    <w:rsid w:val="00FF43E0"/>
    <w:rsid w:val="00FF464C"/>
    <w:rsid w:val="00FF4C39"/>
    <w:rsid w:val="00FF5560"/>
    <w:rsid w:val="027C3466"/>
    <w:rsid w:val="02FC45A7"/>
    <w:rsid w:val="09D63FEA"/>
    <w:rsid w:val="0DC30C0E"/>
    <w:rsid w:val="0EE738EC"/>
    <w:rsid w:val="1D0C28B4"/>
    <w:rsid w:val="42BB43E3"/>
    <w:rsid w:val="43305354"/>
    <w:rsid w:val="462431C5"/>
    <w:rsid w:val="60934D78"/>
    <w:rsid w:val="69E563C8"/>
    <w:rsid w:val="725626F2"/>
    <w:rsid w:val="72764FC3"/>
    <w:rsid w:val="7C684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7CB"/>
    <w:pPr>
      <w:widowControl w:val="0"/>
      <w:jc w:val="both"/>
    </w:pPr>
    <w:rPr>
      <w:rFonts w:eastAsia="方正仿宋_GBK"/>
      <w:kern w:val="2"/>
      <w:sz w:val="32"/>
    </w:rPr>
  </w:style>
  <w:style w:type="paragraph" w:styleId="1">
    <w:name w:val="heading 1"/>
    <w:basedOn w:val="a"/>
    <w:next w:val="a"/>
    <w:link w:val="1Char"/>
    <w:autoRedefine/>
    <w:qFormat/>
    <w:rsid w:val="003A4D6C"/>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767CB"/>
    <w:pPr>
      <w:jc w:val="left"/>
    </w:pPr>
    <w:rPr>
      <w:rFonts w:ascii="Calibri" w:hAnsi="Calibri"/>
      <w:sz w:val="21"/>
      <w:szCs w:val="21"/>
    </w:rPr>
  </w:style>
  <w:style w:type="paragraph" w:styleId="a4">
    <w:name w:val="Date"/>
    <w:basedOn w:val="a"/>
    <w:next w:val="a"/>
    <w:link w:val="Char0"/>
    <w:qFormat/>
    <w:rsid w:val="005767CB"/>
    <w:pPr>
      <w:ind w:leftChars="2500" w:left="100"/>
    </w:pPr>
  </w:style>
  <w:style w:type="paragraph" w:styleId="a5">
    <w:name w:val="Balloon Text"/>
    <w:basedOn w:val="a"/>
    <w:autoRedefine/>
    <w:semiHidden/>
    <w:qFormat/>
    <w:rsid w:val="005767CB"/>
    <w:rPr>
      <w:sz w:val="18"/>
      <w:szCs w:val="18"/>
    </w:rPr>
  </w:style>
  <w:style w:type="paragraph" w:styleId="a6">
    <w:name w:val="footer"/>
    <w:basedOn w:val="a"/>
    <w:link w:val="Char1"/>
    <w:autoRedefine/>
    <w:uiPriority w:val="99"/>
    <w:qFormat/>
    <w:rsid w:val="005767CB"/>
    <w:pPr>
      <w:tabs>
        <w:tab w:val="center" w:pos="4153"/>
        <w:tab w:val="right" w:pos="8306"/>
      </w:tabs>
      <w:snapToGrid w:val="0"/>
      <w:jc w:val="left"/>
    </w:pPr>
    <w:rPr>
      <w:sz w:val="18"/>
    </w:rPr>
  </w:style>
  <w:style w:type="paragraph" w:styleId="a7">
    <w:name w:val="header"/>
    <w:basedOn w:val="a"/>
    <w:autoRedefine/>
    <w:qFormat/>
    <w:rsid w:val="005767CB"/>
    <w:pPr>
      <w:pBdr>
        <w:bottom w:val="single" w:sz="6" w:space="1" w:color="auto"/>
      </w:pBdr>
      <w:tabs>
        <w:tab w:val="center" w:pos="4153"/>
        <w:tab w:val="right" w:pos="8306"/>
      </w:tabs>
      <w:snapToGrid w:val="0"/>
      <w:jc w:val="center"/>
    </w:pPr>
    <w:rPr>
      <w:sz w:val="18"/>
    </w:rPr>
  </w:style>
  <w:style w:type="paragraph" w:styleId="a8">
    <w:name w:val="Normal (Web)"/>
    <w:basedOn w:val="a"/>
    <w:autoRedefine/>
    <w:qFormat/>
    <w:rsid w:val="005767CB"/>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autoRedefine/>
    <w:qFormat/>
    <w:rsid w:val="005767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autoRedefine/>
    <w:qFormat/>
    <w:rsid w:val="005767CB"/>
  </w:style>
  <w:style w:type="character" w:customStyle="1" w:styleId="Char1">
    <w:name w:val="页脚 Char"/>
    <w:link w:val="a6"/>
    <w:autoRedefine/>
    <w:uiPriority w:val="99"/>
    <w:qFormat/>
    <w:rsid w:val="005767CB"/>
    <w:rPr>
      <w:rFonts w:eastAsia="方正仿宋_GBK"/>
      <w:kern w:val="2"/>
      <w:sz w:val="18"/>
    </w:rPr>
  </w:style>
  <w:style w:type="character" w:customStyle="1" w:styleId="Char">
    <w:name w:val="批注文字 Char"/>
    <w:basedOn w:val="a0"/>
    <w:link w:val="a3"/>
    <w:autoRedefine/>
    <w:uiPriority w:val="99"/>
    <w:qFormat/>
    <w:rsid w:val="005767CB"/>
    <w:rPr>
      <w:rFonts w:ascii="Calibri" w:eastAsia="方正仿宋_GBK" w:hAnsi="Calibri"/>
      <w:kern w:val="2"/>
      <w:sz w:val="21"/>
      <w:szCs w:val="21"/>
    </w:rPr>
  </w:style>
  <w:style w:type="paragraph" w:customStyle="1" w:styleId="Default">
    <w:name w:val="Default"/>
    <w:autoRedefine/>
    <w:qFormat/>
    <w:rsid w:val="005767CB"/>
    <w:pPr>
      <w:widowControl w:val="0"/>
      <w:autoSpaceDE w:val="0"/>
      <w:autoSpaceDN w:val="0"/>
      <w:adjustRightInd w:val="0"/>
    </w:pPr>
    <w:rPr>
      <w:rFonts w:ascii="黑体" w:hAnsi="黑体" w:cs="黑体"/>
      <w:color w:val="000000"/>
      <w:sz w:val="24"/>
      <w:szCs w:val="24"/>
    </w:rPr>
  </w:style>
  <w:style w:type="character" w:customStyle="1" w:styleId="Char0">
    <w:name w:val="日期 Char"/>
    <w:basedOn w:val="a0"/>
    <w:link w:val="a4"/>
    <w:autoRedefine/>
    <w:qFormat/>
    <w:rsid w:val="005767CB"/>
    <w:rPr>
      <w:rFonts w:eastAsia="方正仿宋_GBK"/>
      <w:kern w:val="2"/>
      <w:sz w:val="32"/>
    </w:rPr>
  </w:style>
  <w:style w:type="character" w:customStyle="1" w:styleId="1Char">
    <w:name w:val="标题 1 Char"/>
    <w:basedOn w:val="a0"/>
    <w:link w:val="1"/>
    <w:rsid w:val="003A4D6C"/>
    <w:rPr>
      <w:rFonts w:ascii="宋体" w:hAnsi="宋体"/>
      <w:b/>
      <w:kern w:val="44"/>
      <w:sz w:val="48"/>
      <w:szCs w:val="48"/>
    </w:rPr>
  </w:style>
  <w:style w:type="paragraph" w:styleId="ab">
    <w:name w:val="Body Text"/>
    <w:basedOn w:val="a"/>
    <w:link w:val="Char2"/>
    <w:autoRedefine/>
    <w:qFormat/>
    <w:rsid w:val="003A4D6C"/>
    <w:pPr>
      <w:spacing w:after="120"/>
    </w:pPr>
    <w:rPr>
      <w:rFonts w:eastAsia="宋体"/>
      <w:sz w:val="21"/>
      <w:szCs w:val="24"/>
    </w:rPr>
  </w:style>
  <w:style w:type="character" w:customStyle="1" w:styleId="Char2">
    <w:name w:val="正文文本 Char"/>
    <w:basedOn w:val="a0"/>
    <w:link w:val="ab"/>
    <w:rsid w:val="003A4D6C"/>
    <w:rPr>
      <w:kern w:val="2"/>
      <w:sz w:val="21"/>
      <w:szCs w:val="24"/>
    </w:rPr>
  </w:style>
  <w:style w:type="paragraph" w:styleId="2">
    <w:name w:val="Body Text 2"/>
    <w:basedOn w:val="a"/>
    <w:link w:val="2Char"/>
    <w:rsid w:val="00894519"/>
    <w:pPr>
      <w:spacing w:after="120" w:line="480" w:lineRule="auto"/>
    </w:pPr>
  </w:style>
  <w:style w:type="character" w:customStyle="1" w:styleId="2Char">
    <w:name w:val="正文文本 2 Char"/>
    <w:basedOn w:val="a0"/>
    <w:link w:val="2"/>
    <w:rsid w:val="00894519"/>
    <w:rPr>
      <w:rFonts w:eastAsia="方正仿宋_GBK"/>
      <w:kern w:val="2"/>
      <w:sz w:val="32"/>
    </w:rPr>
  </w:style>
  <w:style w:type="paragraph" w:customStyle="1" w:styleId="TableText">
    <w:name w:val="Table Text"/>
    <w:basedOn w:val="a"/>
    <w:autoRedefine/>
    <w:semiHidden/>
    <w:qFormat/>
    <w:rsid w:val="004F4AF0"/>
    <w:pPr>
      <w:widowControl/>
      <w:kinsoku w:val="0"/>
      <w:autoSpaceDE w:val="0"/>
      <w:autoSpaceDN w:val="0"/>
      <w:adjustRightInd w:val="0"/>
      <w:snapToGrid w:val="0"/>
      <w:jc w:val="left"/>
      <w:textAlignment w:val="baseline"/>
    </w:pPr>
    <w:rPr>
      <w:rFonts w:ascii="宋体" w:eastAsia="宋体" w:hAnsi="宋体" w:cs="宋体"/>
      <w:snapToGrid w:val="0"/>
      <w:color w:val="000000"/>
      <w:kern w:val="0"/>
      <w:sz w:val="23"/>
      <w:szCs w:val="23"/>
      <w:lang w:eastAsia="en-US"/>
    </w:rPr>
  </w:style>
  <w:style w:type="table" w:customStyle="1" w:styleId="TableNormal">
    <w:name w:val="Table Normal"/>
    <w:autoRedefine/>
    <w:semiHidden/>
    <w:unhideWhenUsed/>
    <w:qFormat/>
    <w:rsid w:val="004F4AF0"/>
    <w:rPr>
      <w:rFonts w:asciiTheme="minorHAnsi" w:eastAsiaTheme="minorEastAsia" w:hAnsiTheme="minorHAnsi" w:cstheme="minorBidi"/>
    </w:rPr>
    <w:tblPr>
      <w:tblCellMar>
        <w:top w:w="0" w:type="dxa"/>
        <w:left w:w="0" w:type="dxa"/>
        <w:bottom w:w="0" w:type="dxa"/>
        <w:right w:w="0" w:type="dxa"/>
      </w:tblCellMar>
    </w:tblPr>
  </w:style>
  <w:style w:type="paragraph" w:customStyle="1" w:styleId="-">
    <w:name w:val="正文-啊"/>
    <w:basedOn w:val="a"/>
    <w:autoRedefine/>
    <w:qFormat/>
    <w:rsid w:val="00AF02AB"/>
    <w:pPr>
      <w:spacing w:line="588" w:lineRule="exact"/>
      <w:ind w:firstLine="1134"/>
      <w:contextualSpacing/>
    </w:pPr>
    <w:rPr>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0B5A-678E-44B1-B8E6-F94340B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204</Words>
  <Characters>1165</Characters>
  <Application>Microsoft Office Word</Application>
  <DocSecurity>0</DocSecurity>
  <Lines>9</Lines>
  <Paragraphs>2</Paragraphs>
  <ScaleCrop>false</ScaleCrop>
  <Company>Lenovo (Beijing) Limited</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用户</cp:lastModifiedBy>
  <cp:revision>3</cp:revision>
  <cp:lastPrinted>2024-02-27T03:45:00Z</cp:lastPrinted>
  <dcterms:created xsi:type="dcterms:W3CDTF">2024-03-26T09:06:00Z</dcterms:created>
  <dcterms:modified xsi:type="dcterms:W3CDTF">2024-03-26T09:09:00Z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B8BF7E58569041BD823F3D9A43684C1E_13</vt:lpwstr>
  </property>
</Properties>
</file>